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5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8"/>
      </w:tblGrid>
      <w:tr w14:paraId="7A763413">
        <w:trPr>
          <w:trHeight w:val="482" w:hRule="atLeast"/>
        </w:trPr>
        <w:tc>
          <w:tcPr>
            <w:tcW w:w="9865" w:type="dxa"/>
            <w:shd w:val="clear" w:color="auto" w:fill="103A66"/>
            <w:vAlign w:val="center"/>
          </w:tcPr>
          <w:p w14:paraId="10CAD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70" w:right="0"/>
              <w:jc w:val="left"/>
              <w:rPr>
                <w:rFonts w:hint="default" w:eastAsia="微软雅黑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 xml:space="preserve">4U 大容量存储服务器</w:t>
            </w:r>
          </w:p>
        </w:tc>
      </w:tr>
    </w:tbl>
    <w:p w14:paraId="10DBA14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1"/>
          <w:szCs w:val="16"/>
        </w:rPr>
      </w:pPr>
    </w:p>
    <w:p w14:paraId="2B6C62BA">
      <w:pPr>
        <w:pBdr>
          <w:bottom w:val="single" w:color="16BFA8" w:sz="8" w:space="2"/>
        </w:pBdr>
        <w:spacing w:before="280" w:after="120" w:line="324" w:lineRule="auto"/>
        <w:jc w:val="center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6"/>
          <w:szCs w:val="28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  <w:t xml:space="preserve">SS4140X5</w:t>
      </w:r>
    </w:p>
    <w:p w14:paraId="6348860A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  <w:r>
        <w:rPr>
          <w:rFonts w:hint="default" w:ascii="Times New Roman Regular" w:hAnsi="Times New Roman Regular" w:eastAsia="微软雅黑" w:cs="Times New Roman Regula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1668145</wp:posOffset>
            </wp:positionH>
            <wp:positionV relativeFrom="paragraph">
              <wp:posOffset>372745</wp:posOffset>
            </wp:positionV>
            <wp:extent cx="3094990" cy="1158855"/>
            <wp:effectExtent l="0" t="0" r="3810" b="1524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115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2F30B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786DA449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5061B755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09C89A7F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24"/>
          <w:szCs w:val="20"/>
        </w:rPr>
      </w:pPr>
    </w:p>
    <w:p w14:paraId="617E191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eastAsia="微软雅黑" w:ascii="Times New Roman Regular" w:hAnsi="Times New Roman Regular" w:cs="Times New Roman Regular"/>
          <w:lang w:eastAsia="zh-CN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概述</w:t>
      </w:r>
    </w:p>
    <w:p w14:paraId="18903C16">
      <w:pPr>
        <w:spacing w:before="0" w:after="160" w:line="348" w:lineRule="auto"/>
        <w:ind w:firstLine="720" w:firstLineChars="0"/>
        <w:jc w:val="both"/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  <w:szCs w:val="22"/>
          <w:lang w:val="en-US" w:eastAsia="en-US" w:bidi="ar-SA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</w:rPr>
        <w:t xml:space="preserve">SS4140X5 是世沅科技面向企业客户打造的 4U 大容量存储服务器，基于最大2颗英特尔®至强®第四代或第五代可扩展处理器，配合32条5600MT/s DDR5内存技术。通过多达60个3.5英寸和8个2.5英寸硬盘插槽的支持，提供极致的存储能力。支持5个PCIe 5.0标卡插槽、2个OCP卡插槽，满足不同板卡扩展需求，可应用于新一代基础架构的AI计算存储、互联网业务、IDC和企业市场等存储场合，具有存储密度大、易管理、易部署等优点。</w:t>
      </w:r>
    </w:p>
    <w:p w14:paraId="122DA0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特性</w:t>
      </w:r>
    </w:p>
    <w:p w14:paraId="74D1B15C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 xml:space="preserve">应用场景</w:t>
      </w:r>
    </w:p>
    <w:p w14:paraId="142BB608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 xml:space="preserve">视频图片媒体等非结构化数据存储、云存储与对象存储、大数据与数据库在线业务、数据备份与灾备、冷数据归档与合规留存等；</w:t>
      </w:r>
    </w:p>
    <w:p w14:paraId="3BC548C1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</w:rPr>
        <w:t xml:space="preserve">开放生态，轻松管理</w:t>
      </w:r>
    </w:p>
    <w:p w14:paraId="6F67B995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 xml:space="preserve">基于OCSP规范的开放生态设计与OpenBMC服务器管理</w:t>
      </w:r>
    </w:p>
    <w:p w14:paraId="5EA1F035">
      <w:pPr>
        <w:numPr>
          <w:ilvl w:val="0"/>
          <w:numId w:val="7"/>
        </w:numPr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 xml:space="preserve">海量存储能力</w:t>
      </w:r>
    </w:p>
    <w:p w14:paraId="324F60CE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 xml:space="preserve">多达60个3.5英寸与8个2.5英寸硬盘插槽，32个DDR5 5600MT/s内存插槽与7个PCIe 5.0扩展槽位</w:t>
      </w:r>
    </w:p>
    <w:p w14:paraId="5A01F9F2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 xml:space="preserve">可靠设计，稳定运行</w:t>
      </w:r>
    </w:p>
    <w:p w14:paraId="16F39425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 xml:space="preserve">采用可靠的硬件组件，支持可信计算模块；支持热插拔维护，提升系统运维可靠性</w:t>
      </w:r>
    </w:p>
    <w:p w14:paraId="795559E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产品规格</w:t>
      </w:r>
    </w:p>
    <w:p w14:paraId="540D31B6">
      <w:pPr>
        <w:spacing w:before="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6B7A8F"/>
          <w:sz w:val="18"/>
        </w:rPr>
        <w:t>产品规格以本产品支持的所有部件为基准计算，如最大内存容量以单条最大容量为准；定制配置请以实际交付为准。</w:t>
      </w:r>
    </w:p>
    <w:tbl>
      <w:tblPr>
        <w:tblStyle w:val="32"/>
        <w:tblW w:w="10293" w:type="dxa"/>
        <w:tblInd w:w="0" w:type="dxa"/>
        <w:tblBorders>
          <w:top w:val="single" w:color="C9D4E0" w:sz="4" w:space="0"/>
          <w:left w:val="single" w:color="C9D4E0" w:sz="4" w:space="0"/>
          <w:bottom w:val="single" w:color="C9D4E0" w:sz="4" w:space="0"/>
          <w:right w:val="single" w:color="C9D4E0" w:sz="4" w:space="0"/>
          <w:insideH w:val="single" w:color="C9D4E0" w:sz="4" w:space="0"/>
          <w:insideV w:val="single" w:color="C9D4E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8079"/>
      </w:tblGrid>
      <w:tr w14:paraId="15D713AF">
        <w:trPr>
          <w:wAfter w:w="0" w:type="auto"/>
        </w:trPr>
        <w:tc>
          <w:tcPr>
            <w:tcW w:w="2214" w:type="dxa"/>
            <w:shd w:val="clear" w:color="auto" w:fill="103A66"/>
            <w:vAlign w:val="center"/>
          </w:tcPr>
          <w:p w14:paraId="2CB6970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 xml:space="preserve">名称</w:t>
            </w:r>
          </w:p>
        </w:tc>
        <w:tc>
          <w:tcPr>
            <w:tcW w:w="8079" w:type="dxa"/>
            <w:shd w:val="clear" w:color="auto" w:fill="103A66"/>
            <w:vAlign w:val="center"/>
          </w:tcPr>
          <w:p w14:paraId="1844449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 xml:space="preserve">规格参数</w:t>
            </w:r>
          </w:p>
        </w:tc>
      </w:tr>
      <w:tr w14:paraId="0FFC2338">
        <w:trPr>
          <w:wAfter w:w="0" w:type="auto"/>
        </w:trPr>
        <w:tc>
          <w:tcPr>
            <w:tcW w:w="2214" w:type="dxa"/>
            <w:shd w:val="clear" w:color="auto" w:fill="F4F7FA"/>
            <w:vAlign w:val="center"/>
          </w:tcPr>
          <w:p w14:paraId="02D58662">
            <w:pPr>
              <w:pStyle w:val="164"/>
              <w:spacing w:before="234" w:line="182" w:lineRule="auto"/>
              <w:ind w:left="146" w:leftChars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处理器</w:t>
            </w:r>
          </w:p>
        </w:tc>
        <w:tc>
          <w:tcPr>
            <w:tcW w:w="8079" w:type="dxa"/>
            <w:shd w:val="clear" w:color="auto" w:fill="F4F7FA"/>
            <w:vAlign w:val="center"/>
          </w:tcPr>
          <w:p w14:paraId="75605404">
            <w:pPr>
              <w:pStyle w:val="164"/>
              <w:spacing w:before="227" w:line="178" w:lineRule="auto"/>
              <w:ind w:left="136" w:leftChars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双Socket E2（LGA-4677）</w:t>
            </w:r>
          </w:p>
          <w:p w14:paraId="75605404">
            <w:pPr>
              <w:pStyle w:val="164"/>
              <w:spacing w:before="227" w:line="178" w:lineRule="auto"/>
              <w:ind w:left="136" w:leftChars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支持2颗英特尔®至强®第四代或第五代可扩展处理器，每颗CPU最高支持48核/96线程，最高300MB缓存，最大热设计功率350W</w:t>
            </w:r>
          </w:p>
        </w:tc>
      </w:tr>
      <w:tr w14:paraId="56382857">
        <w:trPr>
          <w:wAfter w:w="0" w:type="auto"/>
        </w:trPr>
        <w:tc>
          <w:tcPr>
            <w:tcW w:w="2214" w:type="dxa"/>
            <w:vAlign w:val="center"/>
          </w:tcPr>
          <w:p w14:paraId="572FD6C1">
            <w:pPr>
              <w:spacing w:line="243" w:lineRule="auto"/>
              <w:rPr>
                <w:rFonts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 xml:space="preserve">内存</w:t>
            </w:r>
          </w:p>
        </w:tc>
        <w:tc>
          <w:tcPr>
            <w:tcW w:w="8079" w:type="dxa"/>
            <w:vAlign w:val="center"/>
          </w:tcPr>
          <w:p w14:paraId="5F8EEC3F">
            <w:pPr>
              <w:pStyle w:val="164"/>
              <w:spacing w:before="140" w:line="188" w:lineRule="auto"/>
              <w:ind w:left="16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支持32条DDR5内存，2DPC；支持5600MT/s RDIMM ECC</w:t>
            </w:r>
          </w:p>
        </w:tc>
      </w:tr>
      <w:tr w14:paraId="67F2B5C5">
        <w:trPr>
          <w:wAfter w:w="0" w:type="auto"/>
        </w:trPr>
        <w:tc>
          <w:tcPr>
            <w:tcW w:w="2214" w:type="dxa"/>
            <w:vAlign w:val="center"/>
          </w:tcPr>
          <w:p w14:paraId="7DD1A420">
            <w:pPr>
              <w:pStyle w:val="164"/>
              <w:spacing w:before="215" w:line="182" w:lineRule="auto"/>
              <w:ind w:left="145" w:leftChars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控制器及RAID</w:t>
            </w:r>
          </w:p>
        </w:tc>
        <w:tc>
          <w:tcPr>
            <w:tcW w:w="8079" w:type="dxa"/>
            <w:vAlign w:val="center"/>
          </w:tcPr>
          <w:p w14:paraId="1972E2B0">
            <w:pPr>
              <w:pStyle w:val="164"/>
              <w:spacing w:before="215" w:line="195" w:lineRule="auto"/>
              <w:ind w:left="134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可选配高性能RAID控制器，支持RAID0/1/10/5/6/50/60</w:t>
            </w:r>
          </w:p>
          <w:p w14:paraId="1972E2B0">
            <w:pPr>
              <w:pStyle w:val="164"/>
              <w:spacing w:before="215" w:line="195" w:lineRule="auto"/>
              <w:ind w:left="134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支持VROC</w:t>
            </w:r>
          </w:p>
        </w:tc>
      </w:tr>
      <w:tr w14:paraId="25BAB32F">
        <w:trPr>
          <w:wAfter w:w="0" w:type="auto"/>
        </w:trPr>
        <w:tc>
          <w:tcPr>
            <w:tcW w:w="2214" w:type="dxa"/>
            <w:vAlign w:val="center"/>
          </w:tcPr>
          <w:p w14:paraId="7AF7D4B7">
            <w:pPr>
              <w:pStyle w:val="164"/>
              <w:spacing w:before="263" w:line="183" w:lineRule="auto"/>
              <w:ind w:left="145" w:leftChars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存储</w:t>
            </w:r>
          </w:p>
        </w:tc>
        <w:tc>
          <w:tcPr>
            <w:tcW w:w="8079" w:type="dxa"/>
            <w:vAlign w:val="center"/>
          </w:tcPr>
          <w:p w14:paraId="00860ABD">
            <w:pPr>
              <w:pStyle w:val="164"/>
              <w:spacing w:before="133" w:line="179" w:lineRule="auto"/>
              <w:ind w:left="16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支持多达60块3.5英寸SATA/SAS硬盘</w:t>
            </w:r>
          </w:p>
          <w:p w14:paraId="00860ABD">
            <w:pPr>
              <w:pStyle w:val="164"/>
              <w:spacing w:before="133" w:line="179" w:lineRule="auto"/>
              <w:ind w:left="16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支持多达8块2.5英寸Tri-mode硬盘</w:t>
            </w:r>
          </w:p>
          <w:p w14:paraId="00860ABD">
            <w:pPr>
              <w:pStyle w:val="164"/>
              <w:spacing w:before="133" w:line="179" w:lineRule="auto"/>
              <w:ind w:left="16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支持2块板载2280 SATA M.2</w:t>
            </w:r>
          </w:p>
        </w:tc>
      </w:tr>
      <w:tr w14:paraId="3BC4A5D5">
        <w:trPr>
          <w:wAfter w:w="0" w:type="auto"/>
        </w:trPr>
        <w:tc>
          <w:tcPr>
            <w:tcW w:w="2214" w:type="dxa"/>
            <w:vAlign w:val="center"/>
          </w:tcPr>
          <w:p w14:paraId="2E9215D5">
            <w:pPr>
              <w:spacing w:line="430" w:lineRule="auto"/>
              <w:rPr>
                <w:rFonts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PCIe扩展</w:t>
            </w:r>
          </w:p>
        </w:tc>
        <w:tc>
          <w:tcPr>
            <w:tcW w:w="8079" w:type="dxa"/>
            <w:vAlign w:val="center"/>
          </w:tcPr>
          <w:p w14:paraId="1665EB37">
            <w:pPr>
              <w:pStyle w:val="164"/>
              <w:spacing w:before="174" w:line="170" w:lineRule="auto"/>
              <w:ind w:left="15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最多7个PCIe5.0扩展槽位</w:t>
            </w:r>
          </w:p>
          <w:p w14:paraId="1665EB37">
            <w:pPr>
              <w:pStyle w:val="164"/>
              <w:spacing w:before="174" w:line="170" w:lineRule="auto"/>
              <w:ind w:left="15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最多支持5个标准PCIe5.0扩展槽位（后置5个，3个全高和2个半高）</w:t>
            </w:r>
          </w:p>
          <w:p w14:paraId="1665EB37">
            <w:pPr>
              <w:pStyle w:val="164"/>
              <w:spacing w:before="174" w:line="170" w:lineRule="auto"/>
              <w:ind w:left="156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支持2个OCP 3.0槽位</w:t>
            </w:r>
          </w:p>
        </w:tc>
      </w:tr>
      <w:tr w14:paraId="66FA94D4">
        <w:trPr>
          <w:wAfter w:w="0" w:type="auto"/>
        </w:trPr>
        <w:tc>
          <w:tcPr>
            <w:tcW w:w="2214" w:type="dxa"/>
            <w:vAlign w:val="center"/>
          </w:tcPr>
          <w:p w14:paraId="0493D805">
            <w:pPr>
              <w:pStyle w:val="164"/>
              <w:spacing w:before="197" w:line="182" w:lineRule="auto"/>
              <w:ind w:left="147" w:leftChars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电源</w:t>
            </w:r>
          </w:p>
        </w:tc>
        <w:tc>
          <w:tcPr>
            <w:tcW w:w="8079" w:type="dxa"/>
            <w:vAlign w:val="center"/>
          </w:tcPr>
          <w:p w14:paraId="12AC87F1">
            <w:pPr>
              <w:pStyle w:val="164"/>
              <w:spacing w:before="197" w:line="178" w:lineRule="auto"/>
              <w:ind w:left="134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可选1300W/1600W/2000W CRPS标准电源，支持3+1和2+2冗余</w:t>
            </w:r>
          </w:p>
        </w:tc>
      </w:tr>
      <w:tr w14:paraId="7FF85BB1">
        <w:trPr>
          <w:wAfter w:w="0" w:type="auto"/>
        </w:trPr>
        <w:tc>
          <w:tcPr>
            <w:tcW w:w="2214" w:type="dxa"/>
            <w:vAlign w:val="center"/>
          </w:tcPr>
          <w:p w14:paraId="59950A71">
            <w:pPr>
              <w:pStyle w:val="164"/>
              <w:spacing w:before="188" w:line="184" w:lineRule="auto"/>
              <w:ind w:left="154" w:leftChars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 xml:space="preserve">固定接口</w:t>
            </w:r>
          </w:p>
        </w:tc>
        <w:tc>
          <w:tcPr>
            <w:tcW w:w="8079" w:type="dxa"/>
            <w:vAlign w:val="center"/>
          </w:tcPr>
          <w:p w14:paraId="7C1FDF8B">
            <w:pPr>
              <w:pStyle w:val="164"/>
              <w:spacing w:before="191" w:line="187" w:lineRule="auto"/>
              <w:ind w:left="135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前部：1个VGA接口、2个USB 3.0接口、1个Type-C Debug接口、1个UID、1个健康LED、1个PWR</w:t>
            </w:r>
          </w:p>
          <w:p w14:paraId="7C1FDF8B">
            <w:pPr>
              <w:pStyle w:val="164"/>
              <w:spacing w:before="191" w:line="187" w:lineRule="auto"/>
              <w:ind w:left="135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后部：1个VGA接口、2个USB 3.0接口、1个BMC管理GE口、1个UID、5个风扇LED</w:t>
            </w:r>
          </w:p>
        </w:tc>
      </w:tr>
      <w:tr w14:paraId="499DD6E4">
        <w:trPr>
          <w:wAfter w:w="0" w:type="auto"/>
        </w:trPr>
        <w:tc>
          <w:tcPr>
            <w:tcW w:w="2214" w:type="dxa"/>
            <w:vAlign w:val="center"/>
          </w:tcPr>
          <w:p w14:paraId="6BEE56FD">
            <w:pPr>
              <w:pStyle w:val="164"/>
              <w:spacing w:before="183" w:line="183" w:lineRule="auto"/>
              <w:ind w:left="151" w:leftChars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管理软件</w:t>
            </w:r>
          </w:p>
        </w:tc>
        <w:tc>
          <w:tcPr>
            <w:tcW w:w="8079" w:type="dxa"/>
            <w:vAlign w:val="center"/>
          </w:tcPr>
          <w:p w14:paraId="61384CA5">
            <w:pPr>
              <w:pStyle w:val="164"/>
              <w:spacing w:before="183" w:line="196" w:lineRule="auto"/>
              <w:ind w:left="135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集成BMC管理芯片AST2600，支持IPMI2.0、Redfish协议，支持SOL、iKVM、虚拟媒介等功能</w:t>
            </w:r>
          </w:p>
        </w:tc>
      </w:tr>
      <w:tr w14:paraId="6818D58C">
        <w:trPr>
          <w:wAfter w:w="0" w:type="auto"/>
        </w:trPr>
        <w:tc>
          <w:tcPr>
            <w:tcW w:w="2214" w:type="dxa"/>
            <w:vAlign w:val="center"/>
          </w:tcPr>
          <w:p w14:paraId="465BACC8">
            <w:pPr>
              <w:spacing w:line="332" w:lineRule="auto"/>
              <w:rPr>
                <w:rFonts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安全性</w:t>
            </w:r>
          </w:p>
        </w:tc>
        <w:tc>
          <w:tcPr>
            <w:tcW w:w="8079" w:type="dxa"/>
            <w:vAlign w:val="center"/>
          </w:tcPr>
          <w:p w14:paraId="7167B9E9">
            <w:pPr>
              <w:pStyle w:val="164"/>
              <w:spacing w:before="138" w:line="182" w:lineRule="auto"/>
              <w:ind w:left="125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支持机箱入侵检测；支持TPM安全模块</w:t>
            </w:r>
          </w:p>
        </w:tc>
      </w:tr>
      <w:tr w14:paraId="79839CC2">
        <w:trPr>
          <w:wAfter w:w="0" w:type="auto"/>
        </w:trPr>
        <w:tc>
          <w:tcPr>
            <w:tcW w:w="2214" w:type="dxa"/>
            <w:vAlign w:val="center"/>
          </w:tcPr>
          <w:p w14:paraId="41632AC7">
            <w:pPr>
              <w:pStyle w:val="164"/>
              <w:spacing w:before="235" w:line="182" w:lineRule="auto"/>
              <w:ind w:left="160" w:leftChars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0"/>
                <w:sz w:val="16"/>
                <w:szCs w:val="16"/>
              </w:rPr>
              <w:t xml:space="preserve">散热</w:t>
            </w:r>
          </w:p>
        </w:tc>
        <w:tc>
          <w:tcPr>
            <w:tcW w:w="8079" w:type="dxa"/>
            <w:vAlign w:val="center"/>
          </w:tcPr>
          <w:p w14:paraId="5C82C4B2">
            <w:pPr>
              <w:pStyle w:val="164"/>
              <w:spacing w:before="214" w:line="188" w:lineRule="auto"/>
              <w:ind w:left="135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上1U：9×4056风扇，支持热插拔</w:t>
            </w:r>
          </w:p>
          <w:p w14:paraId="5C82C4B2">
            <w:pPr>
              <w:pStyle w:val="164"/>
              <w:spacing w:before="214" w:line="188" w:lineRule="auto"/>
              <w:ind w:left="135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下3U：5×8056风扇，支持热插拔</w:t>
            </w:r>
          </w:p>
        </w:tc>
      </w:tr>
      <w:tr w14:paraId="58432EC1">
        <w:trPr>
          <w:wAfter w:w="0" w:type="auto"/>
        </w:trPr>
        <w:tc>
          <w:tcPr>
            <w:tcW w:w="2214" w:type="dxa"/>
            <w:vAlign w:val="center"/>
          </w:tcPr>
          <w:p w14:paraId="0B866075">
            <w:pPr>
              <w:pStyle w:val="164"/>
              <w:spacing w:before="184" w:line="182" w:lineRule="auto"/>
              <w:ind w:left="149" w:leftChars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工作温度</w:t>
            </w:r>
          </w:p>
        </w:tc>
        <w:tc>
          <w:tcPr>
            <w:tcW w:w="8079" w:type="dxa"/>
            <w:vAlign w:val="center"/>
          </w:tcPr>
          <w:p w14:paraId="78EE3201">
            <w:pPr>
              <w:pStyle w:val="164"/>
              <w:spacing w:before="162" w:line="180" w:lineRule="auto"/>
              <w:ind w:left="136" w:leftChars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1"/>
                <w:sz w:val="16"/>
                <w:szCs w:val="16"/>
              </w:rPr>
              <w:t xml:space="preserve">5℃~40℃（工作温度支持受不同配置影响，详情请参考产品技术文档）</w:t>
            </w:r>
          </w:p>
        </w:tc>
      </w:tr>
      <w:tr w14:paraId="2F5E6D7D">
        <w:trPr>
          <w:wAfter w:w="0" w:type="auto"/>
        </w:trPr>
        <w:tc>
          <w:tcPr>
            <w:tcW w:w="2214" w:type="dxa"/>
            <w:vAlign w:val="center"/>
          </w:tcPr>
          <w:p w14:paraId="1EB01532">
            <w:pPr>
              <w:spacing w:line="244" w:lineRule="auto"/>
              <w:rPr>
                <w:rFonts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外形/机箱尺寸</w:t>
            </w:r>
          </w:p>
        </w:tc>
        <w:tc>
          <w:tcPr>
            <w:tcW w:w="8079" w:type="dxa"/>
            <w:vAlign w:val="center"/>
          </w:tcPr>
          <w:p w14:paraId="76EFAFB6">
            <w:pPr>
              <w:pStyle w:val="164"/>
              <w:spacing w:before="133" w:line="182" w:lineRule="auto"/>
              <w:ind w:left="137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4U机架式</w:t>
            </w:r>
          </w:p>
          <w:p w14:paraId="76EFAFB6">
            <w:pPr>
              <w:pStyle w:val="164"/>
              <w:spacing w:before="133" w:line="182" w:lineRule="auto"/>
              <w:ind w:left="137"/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175mm（高）×448mm（宽）×875mm（深）（不含安全面板）</w:t>
            </w:r>
          </w:p>
        </w:tc>
      </w:tr>
    </w:tbl>
    <w:p w14:paraId="17F784E2">
      <w:pPr>
        <w:rPr>
          <w:rFonts w:hint="default" w:ascii="Times New Roman Regular" w:hAnsi="Times New Roman Regular" w:eastAsia="微软雅黑" w:cs="Times New Roman Regular"/>
        </w:rPr>
      </w:pPr>
    </w:p>
    <w:sectPr>
      <w:headerReference r:id="rId5" w:type="default"/>
      <w:footerReference r:id="rId6" w:type="default"/>
      <w:pgSz w:w="11906" w:h="16838"/>
      <w:pgMar w:top="964" w:right="964" w:bottom="964" w:left="964" w:header="567" w:footer="56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99987">
    <w:pPr>
      <w:pStyle w:val="24"/>
      <w:jc w:val="center"/>
    </w:pPr>
    <w:r>
      <w:rPr>
        <w:rFonts w:ascii="微软雅黑" w:hAnsi="微软雅黑" w:eastAsia="微软雅黑"/>
        <w:b w:val="0"/>
        <w:i w:val="0"/>
        <w:color w:val="6B7A8F"/>
        <w:sz w:val="16"/>
      </w:rPr>
      <w:t xml:space="preserve">世沅科技    </w:t>
    </w:r>
    <w:r>
      <w:fldChar w:fldCharType="begin"/>
    </w:r>
    <w:r>
      <w:instrText xml:space="preserve">PAGE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2B8FF">
    <w:pPr>
      <w:pStyle w:val="25"/>
      <w:keepNext w:val="0"/>
      <w:keepLines w:val="0"/>
      <w:pageBreakBefore w:val="0"/>
      <w:widowControl/>
      <w:pBdr>
        <w:bottom w:val="single" w:color="103A66" w:sz="6" w:space="1"/>
      </w:pBdr>
      <w:kinsoku/>
      <w:wordWrap/>
      <w:overflowPunct/>
      <w:topLinePunct w:val="0"/>
      <w:bidi w:val="0"/>
      <w:adjustRightInd/>
      <w:snapToGrid/>
      <w:spacing w:after="80"/>
      <w:jc w:val="both"/>
      <w:textAlignment w:val="auto"/>
      <w:rPr>
        <w:sz w:val="36"/>
        <w:szCs w:val="36"/>
      </w:rPr>
    </w:pPr>
    <w:r>
      <w:rPr>
        <w:rFonts w:ascii="微软雅黑" w:hAnsi="微软雅黑" w:eastAsia="微软雅黑"/>
        <w:b/>
        <w:i w:val="0"/>
        <w:color w:val="103A66"/>
        <w:sz w:val="22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17145</wp:posOffset>
          </wp:positionV>
          <wp:extent cx="193040" cy="193040"/>
          <wp:effectExtent l="0" t="0" r="10160" b="10160"/>
          <wp:wrapTopAndBottom/>
          <wp:docPr id="2" name="图片 2" descr="logo-squ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squa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040" cy="193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b/>
        <w:i w:val="0"/>
        <w:color w:val="103A66"/>
        <w:sz w:val="22"/>
        <w:szCs w:val="36"/>
        <w:lang w:val="en-US" w:eastAsia="zh-CN"/>
      </w:rPr>
      <w:t xml:space="preserve">   </w:t>
    </w:r>
    <w:r>
      <w:rPr>
        <w:rFonts w:ascii="微软雅黑" w:hAnsi="微软雅黑" w:eastAsia="微软雅黑"/>
        <w:b/>
        <w:i w:val="0"/>
        <w:color w:val="103A66"/>
        <w:sz w:val="22"/>
        <w:szCs w:val="36"/>
      </w:rPr>
      <w:t xml:space="preserve">世沅科技 SEYUAN   </w:t>
    </w:r>
    <w:r>
      <w:rPr>
        <w:rFonts w:ascii="微软雅黑" w:hAnsi="微软雅黑" w:eastAsia="微软雅黑"/>
        <w:b w:val="0"/>
        <w:i w:val="0"/>
        <w:color w:val="6B7A8F"/>
        <w:sz w:val="22"/>
        <w:szCs w:val="36"/>
      </w:rPr>
      <w:t>|   产品彩页 Data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E0716"/>
    <w:multiLevelType w:val="singleLevel"/>
    <w:tmpl w:val="BB9E07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FFD41E5"/>
    <w:rsid w:val="373E62E7"/>
    <w:rsid w:val="3B7F094F"/>
    <w:rsid w:val="3F5FFC70"/>
    <w:rsid w:val="4BFF167C"/>
    <w:rsid w:val="56DB178D"/>
    <w:rsid w:val="5EBA5FC4"/>
    <w:rsid w:val="5F7C6E5C"/>
    <w:rsid w:val="5FEFA303"/>
    <w:rsid w:val="77AB7FAD"/>
    <w:rsid w:val="7B7ADD32"/>
    <w:rsid w:val="7DFB24B3"/>
    <w:rsid w:val="B1EF3BD7"/>
    <w:rsid w:val="DBFB61FF"/>
    <w:rsid w:val="DECE3029"/>
    <w:rsid w:val="DFBF5B96"/>
    <w:rsid w:val="DFFBCBE0"/>
    <w:rsid w:val="FEE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basedOn w:val="1"/>
    <w:semiHidden/>
    <w:qFormat/>
    <w:uiPriority w:val="0"/>
    <w:rPr>
      <w:rFonts w:ascii="PingFang SC" w:hAnsi="PingFang SC" w:eastAsia="PingFang SC" w:cs="PingFang SC"/>
      <w:sz w:val="16"/>
      <w:szCs w:val="16"/>
      <w:lang w:val="en-US" w:eastAsia="en-US" w:bidi="ar-SA"/>
    </w:rPr>
  </w:style>
  <w:style w:type="table" w:customStyle="1" w:styleId="16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3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2013-12-24T15:15:00Z</dcterms:created>
  <dc:creator>世沅科技</dc:creator>
  <dc:description>世沅科技产品彩页</dc:description>
  <cp:lastModifiedBy>世沅科技</cp:lastModifiedBy>
  <dcterms:modified xsi:type="dcterms:W3CDTF">2026-10-19T11:31:03Z</dcterms:modified>
  <cp:revision>1</cp:revision>
  <dc:title>世沅科技产品彩页 SS4140X5</dc:title>
  <dc:subject>SS4140X5 4U 60盘存储服务器 产品彩页</dc:subject>
  <cp:keywords>SS4140X5;存储服务器;大容量存储;Intel EGS;世沅科技</cp:keywords>
  <cp:category>产品彩页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2D92CDC660DBA4C18834CF6A15A7682B_42</vt:lpwstr>
  </property>
</Properties>
</file>