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8"/>
      </w:tblGrid>
      <w:tr w14:paraId="7A763413">
        <w:trPr>
          <w:trHeight w:val="482" w:hRule="atLeast"/>
        </w:trPr>
        <w:tc>
          <w:tcPr>
            <w:tcW w:w="9865" w:type="dxa"/>
            <w:shd w:val="clear" w:color="auto" w:fill="103A66"/>
            <w:vAlign w:val="center"/>
          </w:tcPr>
          <w:p w14:paraId="10CAD0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70" w:right="0"/>
              <w:jc w:val="left"/>
              <w:rPr>
                <w:rFonts w:hint="default" w:eastAsia="微软雅黑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40"/>
                <w:szCs w:val="40"/>
              </w:rPr>
              <w:t>10U 双路OAM模组AI服务器</w:t>
            </w:r>
          </w:p>
        </w:tc>
      </w:tr>
    </w:tbl>
    <w:p w14:paraId="10DBA14A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21"/>
          <w:szCs w:val="16"/>
        </w:rPr>
      </w:pPr>
    </w:p>
    <w:p w14:paraId="2B6C62BA">
      <w:pPr>
        <w:pBdr>
          <w:bottom w:val="single" w:color="16BFA8" w:sz="8" w:space="2"/>
        </w:pBdr>
        <w:spacing w:before="280" w:after="120" w:line="324" w:lineRule="auto"/>
        <w:jc w:val="center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6"/>
          <w:szCs w:val="28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6"/>
          <w:szCs w:val="28"/>
        </w:rPr>
        <w:t>SG9420X6</w:t>
      </w:r>
    </w:p>
    <w:p w14:paraId="6348860A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  <w:bookmarkStart w:id="0" w:name="_GoBack"/>
      <w:r>
        <w:rPr>
          <w:rFonts w:hint="default" w:ascii="Times New Roman Regular" w:hAnsi="Times New Roman Regular" w:eastAsia="微软雅黑" w:cs="Times New Roman Regula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1999615</wp:posOffset>
            </wp:positionH>
            <wp:positionV relativeFrom="paragraph">
              <wp:posOffset>106045</wp:posOffset>
            </wp:positionV>
            <wp:extent cx="2562225" cy="2540000"/>
            <wp:effectExtent l="0" t="0" r="3810" b="1524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2036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7CC2F30B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786DA449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5061B755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25FC545C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617E191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eastAsia="微软雅黑" w:ascii="Times New Roman Regular" w:hAnsi="Times New Roman Regular" w:cs="Times New Roman Regular"/>
          <w:lang w:eastAsia="zh-CN"/>
        </w:rPr>
      </w:pPr>
      <w:r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  <w:t>产品</w:t>
      </w: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  <w:lang w:val="en-US" w:eastAsia="zh-CN"/>
        </w:rPr>
        <w:t>概述</w:t>
      </w:r>
    </w:p>
    <w:p w14:paraId="18903C16">
      <w:pPr>
        <w:spacing w:before="0" w:after="160" w:line="348" w:lineRule="auto"/>
        <w:ind w:firstLine="720" w:firstLineChars="0"/>
        <w:jc w:val="both"/>
        <w:rPr>
          <w:rFonts w:ascii="Times New Roman Regular" w:hAnsi="Times New Roman Regular" w:eastAsia="微软雅黑" w:hint="default" w:cs="Times New Roman Regular"/>
          <w:b w:val="0"/>
          <w:i w:val="0"/>
          <w:color w:val="16283A"/>
          <w:sz w:val="20"/>
          <w:szCs w:val="22"/>
          <w:lang w:val="en-US" w:eastAsia="en-US" w:bidi="ar-SA"/>
        </w:rPr>
      </w:pPr>
      <w:r>
        <w:rPr>
          <w:rFonts w:ascii="Times New Roman Regular" w:hAnsi="Times New Roman Regular" w:eastAsia="微软雅黑" w:hint="default" w:cs="Times New Roman Regular"/>
          <w:b w:val="0"/>
          <w:i w:val="0"/>
          <w:color w:val="16283A"/>
          <w:sz w:val="20"/>
        </w:rPr>
        <w:t>SG9420X6 是世沅科技面向企业客户打造的 10U 双路 AI 服务器，支持全新8-GPU模组（SXM和OAM），模块化设计全面提升了整机的散热性和可维护性，使得GPU的强大性能得以充分发挥；计算单元最大支持2颗英特尔®至强®6 SP系列处理器，配合多通道6400MT/s DDR5内存技术，为用户提供高达50%的带宽提升。通过4个PCIe 5.0插槽和多达18个硬盘插槽的支持，满足各种算力架构方案需求，可应用于大规模训练、高性能计算（HPC）、大型数据中心等各种大算力场景。</w:t>
      </w:r>
    </w:p>
    <w:p w14:paraId="122DA00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  <w:t>产品</w:t>
      </w: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  <w:lang w:val="en-US" w:eastAsia="zh-CN"/>
        </w:rPr>
        <w:t>特性</w:t>
      </w:r>
    </w:p>
    <w:p w14:paraId="74D1B15C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应用场景</w:t>
      </w:r>
    </w:p>
    <w:p w14:paraId="142BB608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大规模训练、高性能计算（HPC）、大型数据中心等大算力场景；</w:t>
      </w:r>
    </w:p>
    <w:p w14:paraId="3BC548C1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</w:rPr>
        <w:t>8-GPU模组，兼容SXM与OAM</w:t>
      </w:r>
    </w:p>
    <w:p w14:paraId="6F67B995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全方位满足大算力场景的需求</w:t>
      </w:r>
    </w:p>
    <w:p w14:paraId="5EA1F035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GPU拓扑灵活切换</w:t>
      </w:r>
    </w:p>
    <w:p w14:paraId="324F60CE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  <w:t>PCIe设备可根据业务需求调整资源分配，助力算力性能全面释放</w:t>
      </w:r>
    </w:p>
    <w:p w14:paraId="5A01F9F2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模块化系统设计</w:t>
      </w:r>
    </w:p>
    <w:p w14:paraId="16F39425">
      <w:pP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主控单元、计算单元、散热单元与PCIe设备单元均可单独维护，实现轻松运维</w:t>
      </w:r>
    </w:p>
    <w:p w14:paraId="795559EF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  <w:t>产品规格</w:t>
      </w:r>
    </w:p>
    <w:p w14:paraId="540D31B6">
      <w:pPr>
        <w:spacing w:before="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ascii="Times New Roman Regular" w:hAnsi="Times New Roman Regular" w:eastAsia="微软雅黑" w:hint="default" w:cs="Times New Roman Regular"/>
          <w:b w:val="0"/>
          <w:i w:val="0"/>
          <w:color w:val="6B7A8F"/>
          <w:sz w:val="18"/>
        </w:rPr>
        <w:t>产品规格以本产品支持的所有部件为基准计算，如最大内存容量以单条最大容量为准；定制配置请以实际交付为准。</w:t>
      </w:r>
    </w:p>
    <w:tbl>
      <w:tblPr>
        <w:tblStyle w:val="32"/>
        <w:tblW w:w="10293" w:type="dxa"/>
        <w:tblInd w:w="0" w:type="dxa"/>
        <w:tblBorders>
          <w:top w:val="single" w:color="C9D4E0" w:sz="4" w:space="0"/>
          <w:left w:val="single" w:color="C9D4E0" w:sz="4" w:space="0"/>
          <w:bottom w:val="single" w:color="C9D4E0" w:sz="4" w:space="0"/>
          <w:right w:val="single" w:color="C9D4E0" w:sz="4" w:space="0"/>
          <w:insideH w:val="single" w:color="C9D4E0" w:sz="4" w:space="0"/>
          <w:insideV w:val="single" w:color="C9D4E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4"/>
        <w:gridCol w:w="8079"/>
      </w:tblGrid>
      <w:tr w14:paraId="15D713AF">
        <w:tc>
          <w:tcPr>
            <w:tcW w:w="2214" w:type="dxa"/>
            <w:shd w:val="clear" w:color="auto" w:fill="103A66"/>
            <w:vAlign w:val="center"/>
          </w:tcPr>
          <w:p w14:paraId="2CB6970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微软雅黑" w:hAnsi="微软雅黑" w:eastAsia="微软雅黑"/>
                <w:b/>
                <w:i w:val="0"/>
                <w:color w:val="FFFFFF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  <w:t>名称</w:t>
            </w:r>
          </w:p>
        </w:tc>
        <w:tc>
          <w:tcPr>
            <w:tcW w:w="8079" w:type="dxa"/>
            <w:shd w:val="clear" w:color="auto" w:fill="103A66"/>
            <w:vAlign w:val="center"/>
          </w:tcPr>
          <w:p w14:paraId="18444497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微软雅黑" w:hAnsi="微软雅黑" w:eastAsia="微软雅黑"/>
                <w:b/>
                <w:i w:val="0"/>
                <w:color w:val="FFFFFF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  <w:t>规格参数</w:t>
            </w:r>
          </w:p>
        </w:tc>
      </w:tr>
      <w:tr w14:paraId="0FFC2338">
        <w:tc>
          <w:tcPr>
            <w:tcW w:w="2214" w:type="dxa"/>
            <w:shd w:val="clear" w:color="auto" w:fill="F4F7FA"/>
            <w:vAlign w:val="center"/>
          </w:tcPr>
          <w:p w14:paraId="02D58662">
            <w:pPr>
              <w:pStyle w:val="164"/>
              <w:keepNext w:val="0"/>
              <w:keepLines w:val="0"/>
              <w:widowControl/>
              <w:suppressLineNumbers w:val="0"/>
              <w:spacing w:before="234" w:beforeAutospacing="0" w:afterAutospacing="0" w:line="182" w:lineRule="auto"/>
              <w:ind w:left="146" w:leftChars="0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散热方式</w:t>
            </w:r>
          </w:p>
        </w:tc>
        <w:tc>
          <w:tcPr>
            <w:tcW w:w="8079" w:type="dxa"/>
            <w:shd w:val="clear" w:color="auto" w:fill="F4F7FA"/>
            <w:vAlign w:val="center"/>
          </w:tcPr>
          <w:p w14:paraId="75605404">
            <w:pPr>
              <w:pStyle w:val="164"/>
              <w:keepNext w:val="0"/>
              <w:keepLines w:val="0"/>
              <w:widowControl/>
              <w:suppressLineNumbers w:val="0"/>
              <w:spacing w:before="227" w:beforeAutospacing="0" w:afterAutospacing="0" w:line="178" w:lineRule="auto"/>
              <w:ind w:left="136" w:leftChars="0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风冷</w:t>
            </w:r>
          </w:p>
        </w:tc>
      </w:tr>
      <w:tr w14:paraId="56382857">
        <w:tc>
          <w:tcPr>
            <w:tcW w:w="2214" w:type="dxa"/>
            <w:vAlign w:val="center"/>
          </w:tcPr>
          <w:p w14:paraId="572FD6C1">
            <w:pPr>
              <w:keepNext w:val="0"/>
              <w:keepLines w:val="0"/>
              <w:widowControl/>
              <w:suppressLineNumbers w:val="0"/>
              <w:spacing w:before="0" w:beforeAutospacing="0" w:afterAutospacing="0" w:line="243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8"/>
                <w:sz w:val="16"/>
                <w:szCs w:val="16"/>
              </w:rPr>
              <w:t>GPU</w:t>
            </w:r>
          </w:p>
        </w:tc>
        <w:tc>
          <w:tcPr>
            <w:tcW w:w="8079" w:type="dxa"/>
            <w:vAlign w:val="center"/>
          </w:tcPr>
          <w:p w14:paraId="5F8EEC3F">
            <w:pPr>
              <w:pStyle w:val="164"/>
              <w:keepNext w:val="0"/>
              <w:keepLines w:val="0"/>
              <w:widowControl/>
              <w:suppressLineNumbers w:val="0"/>
              <w:spacing w:before="140" w:beforeAutospacing="0" w:afterAutospacing="0" w:line="188" w:lineRule="auto"/>
              <w:ind w:left="16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支持8-GPU模组（SXM和OAM）</w:t>
            </w:r>
          </w:p>
        </w:tc>
      </w:tr>
      <w:tr w14:paraId="67F2B5C5">
        <w:tc>
          <w:tcPr>
            <w:tcW w:w="2214" w:type="dxa"/>
            <w:vAlign w:val="center"/>
          </w:tcPr>
          <w:p w14:paraId="7DD1A420">
            <w:pPr>
              <w:pStyle w:val="164"/>
              <w:keepNext w:val="0"/>
              <w:keepLines w:val="0"/>
              <w:widowControl/>
              <w:suppressLineNumbers w:val="0"/>
              <w:spacing w:before="215" w:beforeAutospacing="0" w:afterAutospacing="0" w:line="182" w:lineRule="auto"/>
              <w:ind w:left="145" w:leftChars="0" w:right="0"/>
              <w:rPr>
                <w:rFonts w:hint="default" w:ascii="微软雅黑" w:hAnsi="微软雅黑" w:eastAsia="微软雅黑"/>
                <w:b/>
                <w:i w:val="0"/>
                <w:color w:val="103A66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处理器</w:t>
            </w:r>
          </w:p>
        </w:tc>
        <w:tc>
          <w:tcPr>
            <w:tcW w:w="8079" w:type="dxa"/>
            <w:vAlign w:val="center"/>
          </w:tcPr>
          <w:p w14:paraId="1972E2B0">
            <w:pPr>
              <w:pStyle w:val="164"/>
              <w:keepNext w:val="0"/>
              <w:keepLines w:val="0"/>
              <w:widowControl/>
              <w:suppressLineNumbers w:val="0"/>
              <w:spacing w:before="215" w:beforeAutospacing="0" w:afterAutospacing="0" w:line="195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auto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最大支持2颗英特尔®至强®6 SP系列处理器</w:t>
            </w:r>
          </w:p>
          <w:p w14:paraId="39B21186">
            <w:pPr>
              <w:pStyle w:val="164"/>
              <w:keepNext w:val="0"/>
              <w:keepLines w:val="0"/>
              <w:widowControl/>
              <w:suppressLineNumbers w:val="0"/>
              <w:spacing w:before="215" w:beforeAutospacing="0" w:afterAutospacing="0" w:line="195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auto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6700/6500系列单颗最多86个内核，最大功率350W</w:t>
            </w:r>
          </w:p>
        </w:tc>
      </w:tr>
      <w:tr w14:paraId="25BAB32F">
        <w:tc>
          <w:tcPr>
            <w:tcW w:w="2214" w:type="dxa"/>
            <w:vAlign w:val="center"/>
          </w:tcPr>
          <w:p w14:paraId="7AF7D4B7">
            <w:pPr>
              <w:pStyle w:val="164"/>
              <w:keepNext w:val="0"/>
              <w:keepLines w:val="0"/>
              <w:widowControl/>
              <w:suppressLineNumbers w:val="0"/>
              <w:spacing w:before="263" w:beforeAutospacing="0" w:afterAutospacing="0" w:line="183" w:lineRule="auto"/>
              <w:ind w:left="145" w:leftChars="0" w:right="0"/>
              <w:rPr>
                <w:rFonts w:hint="default" w:ascii="微软雅黑" w:hAnsi="微软雅黑" w:eastAsia="微软雅黑"/>
                <w:b/>
                <w:i w:val="0"/>
                <w:color w:val="103A66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内存</w:t>
            </w:r>
          </w:p>
        </w:tc>
        <w:tc>
          <w:tcPr>
            <w:tcW w:w="8079" w:type="dxa"/>
            <w:vAlign w:val="center"/>
          </w:tcPr>
          <w:p w14:paraId="00860ABD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79" w:lineRule="auto"/>
              <w:ind w:left="16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支持多达32个DDR5内存插槽，配置RDIMM时速率可高达6400MT/s，配置MRDIMM时速率可高达8000MT/s</w:t>
            </w:r>
          </w:p>
          <w:p w14:paraId="50F12A23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79" w:lineRule="auto"/>
              <w:ind w:left="16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容量高达8TB；支持CXL 2.0</w:t>
            </w:r>
          </w:p>
        </w:tc>
      </w:tr>
      <w:tr w14:paraId="3BC4A5D5">
        <w:tc>
          <w:tcPr>
            <w:tcW w:w="2214" w:type="dxa"/>
            <w:vAlign w:val="center"/>
          </w:tcPr>
          <w:p w14:paraId="2E9215D5">
            <w:pPr>
              <w:keepNext w:val="0"/>
              <w:keepLines w:val="0"/>
              <w:widowControl/>
              <w:suppressLineNumbers w:val="0"/>
              <w:spacing w:before="0" w:beforeAutospacing="0" w:afterAutospacing="0" w:line="430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存储扩展</w:t>
            </w:r>
          </w:p>
        </w:tc>
        <w:tc>
          <w:tcPr>
            <w:tcW w:w="8079" w:type="dxa"/>
            <w:vAlign w:val="center"/>
          </w:tcPr>
          <w:p w14:paraId="1665EB37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系统SAS/SATA/NVMe硬盘配置：</w:t>
            </w:r>
          </w:p>
          <w:p w14:paraId="7145BF12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支持多达18块2.5英寸硬盘（前置8个SATA+8个NVMe，后置2个NVMe）</w:t>
            </w:r>
          </w:p>
          <w:p w14:paraId="36C160E4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可选2个2280 SATA/NVMe M.2 SSD</w:t>
            </w:r>
          </w:p>
        </w:tc>
      </w:tr>
      <w:tr w14:paraId="66FA94D4">
        <w:tc>
          <w:tcPr>
            <w:tcW w:w="2214" w:type="dxa"/>
            <w:vAlign w:val="center"/>
          </w:tcPr>
          <w:p w14:paraId="0493D805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82" w:lineRule="auto"/>
              <w:ind w:left="147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PCIe扩展</w:t>
            </w:r>
          </w:p>
        </w:tc>
        <w:tc>
          <w:tcPr>
            <w:tcW w:w="8079" w:type="dxa"/>
            <w:vAlign w:val="center"/>
          </w:tcPr>
          <w:p w14:paraId="12AC87F1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78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支持多达4个PCIe 5.0扩展槽位：</w:t>
            </w:r>
          </w:p>
          <w:p w14:paraId="5D3D0FCB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78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支持多达2个X16+1个X8 PCIe 5.0标准插槽（CPU）</w:t>
            </w:r>
          </w:p>
          <w:p w14:paraId="257E778D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78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支持1个OCP3.0板载槽位</w:t>
            </w:r>
          </w:p>
        </w:tc>
      </w:tr>
      <w:tr w14:paraId="7FF85BB1">
        <w:tc>
          <w:tcPr>
            <w:tcW w:w="2214" w:type="dxa"/>
            <w:vAlign w:val="center"/>
          </w:tcPr>
          <w:p w14:paraId="59950A71">
            <w:pPr>
              <w:pStyle w:val="164"/>
              <w:keepNext w:val="0"/>
              <w:keepLines w:val="0"/>
              <w:widowControl/>
              <w:suppressLineNumbers w:val="0"/>
              <w:spacing w:before="188" w:beforeAutospacing="0" w:afterAutospacing="0" w:line="184" w:lineRule="auto"/>
              <w:ind w:left="154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8"/>
                <w:sz w:val="16"/>
                <w:szCs w:val="16"/>
              </w:rPr>
              <w:t>网络</w:t>
            </w:r>
          </w:p>
        </w:tc>
        <w:tc>
          <w:tcPr>
            <w:tcW w:w="8079" w:type="dxa"/>
            <w:vAlign w:val="center"/>
          </w:tcPr>
          <w:p w14:paraId="7C1FDF8B">
            <w:pPr>
              <w:pStyle w:val="164"/>
              <w:keepNext w:val="0"/>
              <w:keepLines w:val="0"/>
              <w:widowControl/>
              <w:suppressLineNumbers w:val="0"/>
              <w:spacing w:before="191" w:beforeAutospacing="0" w:afterAutospacing="0" w:line="187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支持8个CX8 800G直出网口（IB或以太网，PCIe 6.0）</w:t>
            </w:r>
          </w:p>
        </w:tc>
      </w:tr>
      <w:tr w14:paraId="499DD6E4">
        <w:tc>
          <w:tcPr>
            <w:tcW w:w="2214" w:type="dxa"/>
            <w:vAlign w:val="center"/>
          </w:tcPr>
          <w:p w14:paraId="6BEE56FD">
            <w:pPr>
              <w:pStyle w:val="164"/>
              <w:keepNext w:val="0"/>
              <w:keepLines w:val="0"/>
              <w:widowControl/>
              <w:suppressLineNumbers w:val="0"/>
              <w:spacing w:before="183" w:beforeAutospacing="0" w:afterAutospacing="0" w:line="183" w:lineRule="auto"/>
              <w:ind w:left="151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管理软件</w:t>
            </w:r>
          </w:p>
        </w:tc>
        <w:tc>
          <w:tcPr>
            <w:tcW w:w="8079" w:type="dxa"/>
            <w:vAlign w:val="center"/>
          </w:tcPr>
          <w:p w14:paraId="61384CA5">
            <w:pPr>
              <w:pStyle w:val="164"/>
              <w:keepNext w:val="0"/>
              <w:keepLines w:val="0"/>
              <w:widowControl/>
              <w:suppressLineNumbers w:val="0"/>
              <w:spacing w:before="183" w:beforeAutospacing="0" w:afterAutospacing="0" w:line="196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集成BMC管理芯片AST2600，支持IPMI2.0、Redfish、SOL、KVM、虚拟媒介等功能</w:t>
            </w:r>
          </w:p>
        </w:tc>
      </w:tr>
      <w:tr w14:paraId="6818D58C">
        <w:tc>
          <w:tcPr>
            <w:tcW w:w="2214" w:type="dxa"/>
            <w:vAlign w:val="center"/>
          </w:tcPr>
          <w:p w14:paraId="465BACC8">
            <w:pPr>
              <w:keepNext w:val="0"/>
              <w:keepLines w:val="0"/>
              <w:widowControl/>
              <w:suppressLineNumbers w:val="0"/>
              <w:spacing w:before="0" w:beforeAutospacing="0" w:afterAutospacing="0" w:line="332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安全性</w:t>
            </w:r>
          </w:p>
        </w:tc>
        <w:tc>
          <w:tcPr>
            <w:tcW w:w="8079" w:type="dxa"/>
            <w:vAlign w:val="center"/>
          </w:tcPr>
          <w:p w14:paraId="7167B9E9">
            <w:pPr>
              <w:pStyle w:val="164"/>
              <w:keepNext w:val="0"/>
              <w:keepLines w:val="0"/>
              <w:widowControl/>
              <w:suppressLineNumbers w:val="0"/>
              <w:spacing w:before="138" w:beforeAutospacing="0" w:afterAutospacing="0" w:line="182" w:lineRule="auto"/>
              <w:ind w:left="125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支持Intel PFR3.0和SGX2.0安全技术；支持TCM/TPM安全模块</w:t>
            </w:r>
          </w:p>
        </w:tc>
      </w:tr>
      <w:tr w14:paraId="79839CC2">
        <w:tc>
          <w:tcPr>
            <w:tcW w:w="2214" w:type="dxa"/>
            <w:vAlign w:val="center"/>
          </w:tcPr>
          <w:p w14:paraId="41632AC7">
            <w:pPr>
              <w:pStyle w:val="164"/>
              <w:keepNext w:val="0"/>
              <w:keepLines w:val="0"/>
              <w:widowControl/>
              <w:suppressLineNumbers w:val="0"/>
              <w:spacing w:before="235" w:beforeAutospacing="0" w:afterAutospacing="0" w:line="182" w:lineRule="auto"/>
              <w:ind w:left="160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0"/>
                <w:sz w:val="16"/>
                <w:szCs w:val="16"/>
              </w:rPr>
              <w:t>风扇</w:t>
            </w:r>
          </w:p>
        </w:tc>
        <w:tc>
          <w:tcPr>
            <w:tcW w:w="8079" w:type="dxa"/>
            <w:vAlign w:val="center"/>
          </w:tcPr>
          <w:p w14:paraId="5C82C4B2">
            <w:pPr>
              <w:pStyle w:val="164"/>
              <w:keepNext w:val="0"/>
              <w:keepLines w:val="0"/>
              <w:widowControl/>
              <w:suppressLineNumbers w:val="0"/>
              <w:spacing w:before="214" w:beforeAutospacing="0" w:afterAutospacing="0" w:line="188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支持20个风扇，N+1热插拔冗余</w:t>
            </w:r>
          </w:p>
        </w:tc>
      </w:tr>
      <w:tr w14:paraId="58432EC1">
        <w:tc>
          <w:tcPr>
            <w:tcW w:w="2214" w:type="dxa"/>
            <w:vAlign w:val="center"/>
          </w:tcPr>
          <w:p w14:paraId="0B866075">
            <w:pPr>
              <w:pStyle w:val="164"/>
              <w:keepNext w:val="0"/>
              <w:keepLines w:val="0"/>
              <w:widowControl/>
              <w:suppressLineNumbers w:val="0"/>
              <w:spacing w:before="184" w:beforeAutospacing="0" w:afterAutospacing="0" w:line="182" w:lineRule="auto"/>
              <w:ind w:left="149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电源</w:t>
            </w:r>
          </w:p>
        </w:tc>
        <w:tc>
          <w:tcPr>
            <w:tcW w:w="8079" w:type="dxa"/>
            <w:vAlign w:val="center"/>
          </w:tcPr>
          <w:p w14:paraId="78EE3201">
            <w:pPr>
              <w:pStyle w:val="164"/>
              <w:keepNext w:val="0"/>
              <w:keepLines w:val="0"/>
              <w:widowControl/>
              <w:suppressLineNumbers w:val="0"/>
              <w:spacing w:before="162" w:beforeAutospacing="0" w:afterAutospacing="0" w:line="180" w:lineRule="auto"/>
              <w:ind w:left="136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1"/>
                <w:sz w:val="16"/>
                <w:szCs w:val="16"/>
              </w:rPr>
              <w:t>支持10个3000W/3500W/5200W/5500W 54V钛金电源，2个1600W/2000W/2700W 12V白金电源或3200W钛金电源，支持N+N冗余/N+1冗余</w:t>
            </w:r>
          </w:p>
        </w:tc>
      </w:tr>
      <w:tr w14:paraId="2F5E6D7D">
        <w:tc>
          <w:tcPr>
            <w:tcW w:w="2214" w:type="dxa"/>
            <w:vAlign w:val="center"/>
          </w:tcPr>
          <w:p w14:paraId="1EB01532">
            <w:pPr>
              <w:keepNext w:val="0"/>
              <w:keepLines w:val="0"/>
              <w:widowControl/>
              <w:suppressLineNumbers w:val="0"/>
              <w:spacing w:before="0" w:beforeAutospacing="0" w:afterAutospacing="0" w:line="244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工作温度</w:t>
            </w:r>
          </w:p>
        </w:tc>
        <w:tc>
          <w:tcPr>
            <w:tcW w:w="8079" w:type="dxa"/>
            <w:vAlign w:val="center"/>
          </w:tcPr>
          <w:p w14:paraId="76EFAFB6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5℃~35℃（工作温度支持受不同配置影响）</w:t>
            </w:r>
          </w:p>
        </w:tc>
      </w:tr>
      <w:tr w14:paraId="6D657EC3">
        <w:tc>
          <w:tcPr>
            <w:tcW w:w="2214" w:type="dxa"/>
            <w:vAlign w:val="center"/>
          </w:tcPr>
          <w:p w14:paraId="11026A7F">
            <w:pPr>
              <w:keepNext w:val="0"/>
              <w:keepLines w:val="0"/>
              <w:widowControl/>
              <w:suppressLineNumbers w:val="0"/>
              <w:spacing w:before="0" w:beforeAutospacing="0" w:afterAutospacing="0" w:line="244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外形/机箱尺寸</w:t>
            </w:r>
          </w:p>
        </w:tc>
        <w:tc>
          <w:tcPr>
            <w:tcW w:w="8079" w:type="dxa"/>
            <w:vAlign w:val="center"/>
          </w:tcPr>
          <w:p w14:paraId="00434258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10U机箱</w:t>
            </w:r>
          </w:p>
          <w:p w14:paraId="064D4984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440mm（高）×447mm（宽）×920mm（深）（含挂耳）</w:t>
            </w:r>
          </w:p>
          <w:p w14:paraId="16454995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440mm（高）×447mm（宽）×890mm（深）（不含挂耳）</w:t>
            </w:r>
          </w:p>
        </w:tc>
      </w:tr>
    </w:tbl>
    <w:p w14:paraId="17F784E2">
      <w:pPr>
        <w:rPr>
          <w:rFonts w:hint="default" w:ascii="Times New Roman Regular" w:hAnsi="Times New Roman Regular" w:eastAsia="微软雅黑" w:cs="Times New Roman Regular"/>
        </w:rPr>
      </w:pPr>
    </w:p>
    <w:sectPr>
      <w:headerReference r:id="rId5" w:type="default"/>
      <w:footerReference r:id="rId6" w:type="default"/>
      <w:pgSz w:w="11906" w:h="16838"/>
      <w:pgMar w:top="964" w:right="964" w:bottom="964" w:left="964" w:header="567" w:footer="56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微软雅黑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ＭＳ ゴシック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099987">
    <w:pPr>
      <w:pStyle w:val="24"/>
      <w:jc w:val="center"/>
    </w:pPr>
    <w:r>
      <w:rPr>
        <w:rFonts w:ascii="微软雅黑" w:hAnsi="微软雅黑" w:eastAsia="微软雅黑"/>
        <w:b w:val="0"/>
        <w:i w:val="0"/>
        <w:color w:val="6B7A8F"/>
        <w:sz w:val="16"/>
      </w:rPr>
      <w:t xml:space="preserve">世沅科技    </w:t>
    </w:r>
    <w:r>
      <w:fldChar w:fldCharType="begin"/>
    </w:r>
    <w:r>
      <w:instrText xml:space="preserve">PAGE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92B8FF">
    <w:pPr>
      <w:pStyle w:val="25"/>
      <w:keepNext w:val="0"/>
      <w:keepLines w:val="0"/>
      <w:pageBreakBefore w:val="0"/>
      <w:widowControl/>
      <w:pBdr>
        <w:bottom w:val="single" w:color="103A66" w:sz="6" w:space="1"/>
      </w:pBdr>
      <w:kinsoku/>
      <w:wordWrap/>
      <w:overflowPunct/>
      <w:topLinePunct w:val="0"/>
      <w:bidi w:val="0"/>
      <w:adjustRightInd/>
      <w:snapToGrid/>
      <w:spacing w:after="80"/>
      <w:jc w:val="both"/>
      <w:textAlignment w:val="auto"/>
      <w:rPr>
        <w:sz w:val="36"/>
        <w:szCs w:val="36"/>
      </w:rPr>
    </w:pPr>
    <w:r>
      <w:rPr>
        <w:rFonts w:ascii="微软雅黑" w:hAnsi="微软雅黑" w:eastAsia="微软雅黑"/>
        <w:b/>
        <w:i w:val="0"/>
        <w:color w:val="103A66"/>
        <w:sz w:val="22"/>
        <w:szCs w:val="3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17145</wp:posOffset>
          </wp:positionV>
          <wp:extent cx="193040" cy="193040"/>
          <wp:effectExtent l="0" t="0" r="10160" b="10160"/>
          <wp:wrapTopAndBottom/>
          <wp:docPr id="2" name="图片 2" descr="logo-squ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logo-squa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3040" cy="193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b/>
        <w:i w:val="0"/>
        <w:color w:val="103A66"/>
        <w:sz w:val="22"/>
        <w:szCs w:val="36"/>
        <w:lang w:val="en-US" w:eastAsia="zh-CN"/>
      </w:rPr>
      <w:t xml:space="preserve">   </w:t>
    </w:r>
    <w:r>
      <w:rPr>
        <w:rFonts w:ascii="微软雅黑" w:hAnsi="微软雅黑" w:eastAsia="微软雅黑"/>
        <w:b/>
        <w:i w:val="0"/>
        <w:color w:val="103A66"/>
        <w:sz w:val="22"/>
        <w:szCs w:val="36"/>
      </w:rPr>
      <w:t xml:space="preserve">世沅科技 SEYUAN   </w:t>
    </w:r>
    <w:r>
      <w:rPr>
        <w:rFonts w:ascii="微软雅黑" w:hAnsi="微软雅黑" w:eastAsia="微软雅黑"/>
        <w:b w:val="0"/>
        <w:i w:val="0"/>
        <w:color w:val="6B7A8F"/>
        <w:sz w:val="22"/>
        <w:szCs w:val="36"/>
      </w:rPr>
      <w:t>|   产品彩页 Data Sheet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9E0716"/>
    <w:multiLevelType w:val="singleLevel"/>
    <w:tmpl w:val="BB9E071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4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5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bordersDoNotSurroundHeader w:val="0"/>
  <w:bordersDoNotSurroundFooter w:val="0"/>
  <w:documentProtection w:enforcement="0"/>
  <w:defaultTabStop w:val="72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FFD41E5"/>
    <w:rsid w:val="373E62E7"/>
    <w:rsid w:val="3B7F094F"/>
    <w:rsid w:val="3F5FFC70"/>
    <w:rsid w:val="4BFF167C"/>
    <w:rsid w:val="56DB178D"/>
    <w:rsid w:val="5EBA5FC4"/>
    <w:rsid w:val="5F7C6E5C"/>
    <w:rsid w:val="5F7EABF8"/>
    <w:rsid w:val="5FEFA303"/>
    <w:rsid w:val="77AB7FAD"/>
    <w:rsid w:val="7B7ADD32"/>
    <w:rsid w:val="7DFB24B3"/>
    <w:rsid w:val="B1EF3BD7"/>
    <w:rsid w:val="DBFB61FF"/>
    <w:rsid w:val="DECE3029"/>
    <w:rsid w:val="DFBF5B96"/>
    <w:rsid w:val="DFFBCBE0"/>
    <w:rsid w:val="FEEF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  <w:style w:type="paragraph" w:customStyle="1" w:styleId="164">
    <w:name w:val="Table Text"/>
    <w:basedOn w:val="1"/>
    <w:semiHidden/>
    <w:qFormat/>
    <w:uiPriority w:val="0"/>
    <w:rPr>
      <w:rFonts w:ascii="PingFang SC" w:hAnsi="PingFang SC" w:eastAsia="PingFang SC" w:cs="PingFang SC"/>
      <w:sz w:val="16"/>
      <w:szCs w:val="16"/>
      <w:lang w:val="en-US" w:eastAsia="en-US" w:bidi="ar-SA"/>
    </w:rPr>
  </w:style>
  <w:style w:type="table" w:customStyle="1" w:styleId="16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1</Lines>
  <Paragraphs>1</Paragraphs>
  <TotalTime>4</TotalTime>
  <ScaleCrop>false</ScaleCrop>
  <LinksUpToDate>false</LinksUpToDate>
  <CharactersWithSpaces>0</CharactersWithSpaces>
  <Application>WPS Office_12.1.25869.25869_F1E327BC-269C-435d-A152-05C5408002CA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产品彩页</cp:category>
  <dcterms:created xsi:type="dcterms:W3CDTF">2013-12-24T23:15:00Z</dcterms:created>
  <dc:creator>世沅科技</dc:creator>
  <dc:description>世沅科技产品彩页</dc:description>
  <cp:keywords>SG9420X6;GPU服务器;AI服务器;OAM;Intel Xeon 6 SP;世沅科技</cp:keywords>
  <cp:lastModifiedBy>沈歪歪丶</cp:lastModifiedBy>
  <dcterms:modified xsi:type="dcterms:W3CDTF">2026-10-19T14:40:22Z</dcterms:modified>
  <dc:subject>SG9420X6 10U 8模组 OAM/UBB AI 服务器 产品彩页</dc:subject>
  <dc:title>世沅科技产品彩页 SG9420X6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2D92CDC660DBA4C18834CF6A15A7682B_42</vt:lpwstr>
  </property>
</Properties>
</file>