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2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78"/>
      </w:tblGrid>
      <w:tr w14:paraId="7A763413">
        <w:trPr>
          <w:trHeight w:val="482" w:hRule="atLeast"/>
        </w:trPr>
        <w:tc>
          <w:tcPr>
            <w:tcW w:w="9865" w:type="dxa"/>
            <w:shd w:val="clear" w:color="auto" w:fill="103A66"/>
            <w:vAlign w:val="center"/>
          </w:tcPr>
          <w:p w14:paraId="10CAD0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170" w:right="0"/>
              <w:jc w:val="left"/>
              <w:rPr>
                <w:rFonts w:hint="default" w:eastAsia="微软雅黑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40"/>
                <w:szCs w:val="40"/>
              </w:rPr>
              <w:t>6U 双路AI加速服务器</w:t>
            </w:r>
          </w:p>
        </w:tc>
      </w:tr>
    </w:tbl>
    <w:p w14:paraId="10DBA14A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21"/>
          <w:szCs w:val="16"/>
        </w:rPr>
      </w:pPr>
    </w:p>
    <w:p w14:paraId="2B6C62BA">
      <w:pPr>
        <w:pBdr>
          <w:bottom w:val="single" w:color="16BFA8" w:sz="8" w:space="2"/>
        </w:pBdr>
        <w:spacing w:before="280" w:after="120" w:line="324" w:lineRule="auto"/>
        <w:jc w:val="center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6"/>
          <w:szCs w:val="28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6"/>
          <w:szCs w:val="28"/>
        </w:rPr>
        <w:t>SG6120A5</w:t>
      </w:r>
    </w:p>
    <w:p w14:paraId="6348860A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  <w:r>
        <w:rPr>
          <w:rFonts w:hint="default" w:ascii="Times New Roman Regular" w:hAnsi="Times New Roman Regular" w:eastAsia="微软雅黑" w:cs="Times New Roman Regular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1668145</wp:posOffset>
            </wp:positionH>
            <wp:positionV relativeFrom="paragraph">
              <wp:posOffset>372745</wp:posOffset>
            </wp:positionV>
            <wp:extent cx="3094990" cy="1813560"/>
            <wp:effectExtent l="0" t="0" r="3810" b="1524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94990" cy="1813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C2F30B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786DA449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5061B755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30"/>
        </w:rPr>
      </w:pPr>
    </w:p>
    <w:p w14:paraId="09C89A7F">
      <w:pPr>
        <w:pBdr>
          <w:bottom w:val="single" w:color="16BFA8" w:sz="8" w:space="2"/>
        </w:pBdr>
        <w:spacing w:before="280" w:after="120" w:line="324" w:lineRule="auto"/>
        <w:jc w:val="left"/>
        <w:rPr>
          <w:rFonts w:ascii="Times New Roman Regular" w:hAnsi="Times New Roman Regular" w:eastAsia="微软雅黑" w:hint="default" w:cs="Times New Roman Regular"/>
          <w:b/>
          <w:i w:val="0"/>
          <w:color w:val="103A66"/>
          <w:sz w:val="24"/>
          <w:szCs w:val="20"/>
        </w:rPr>
      </w:pPr>
    </w:p>
    <w:p w14:paraId="617E191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eastAsia="微软雅黑" w:ascii="Times New Roman Regular" w:hAnsi="Times New Roman Regular" w:cs="Times New Roman Regular"/>
          <w:lang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概述</w:t>
      </w:r>
    </w:p>
    <w:p w14:paraId="18903C16">
      <w:pPr>
        <w:spacing w:before="0" w:after="160" w:line="348" w:lineRule="auto"/>
        <w:ind w:firstLine="720" w:firstLineChars="0"/>
        <w:jc w:val="both"/>
        <w:rPr>
          <w:rFonts w:ascii="Times New Roman Regular" w:hAnsi="Times New Roman Regular" w:eastAsia="微软雅黑" w:hint="default" w:cs="Times New Roman Regular"/>
          <w:b w:val="0"/>
          <w:i w:val="0"/>
          <w:color w:val="16283A"/>
          <w:sz w:val="20"/>
          <w:szCs w:val="22"/>
          <w:lang w:val="en-US" w:eastAsia="en-US" w:bidi="ar-SA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16283A"/>
          <w:sz w:val="20"/>
        </w:rPr>
        <w:t>SG6120A5 是世沅科技面向企业客户打造的 6U 双路 AI 服务器，基于 AMD EPYC™ 9004/9005 系列处理器，单机最大支持 2 颗，配合 24 通道 6400MT/s DDR5 内存技术，为用户提供优异的内存带宽和容量。通过 13 个 PCIe 5.0 x16 插槽的支持，实现灵活的扩展能力。96% 的电源能效，以及 0℃~35℃ 的标准工作温度设计，为用户提供更高的能效回报。</w:t>
      </w:r>
    </w:p>
    <w:p w14:paraId="122DA00B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</w:t>
      </w: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  <w:lang w:val="en-US" w:eastAsia="zh-CN"/>
        </w:rPr>
        <w:t>特性</w:t>
      </w:r>
    </w:p>
    <w:p w14:paraId="74D1B15C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应用场景</w:t>
      </w:r>
    </w:p>
    <w:p w14:paraId="142BB608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人工智能、深度学习、自动驾驶汽车、智能城市、医疗健康、大数据、高性能计算 (HPC) 和虚拟现实等；</w:t>
      </w:r>
    </w:p>
    <w:p w14:paraId="3BC548C1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多元算力，适配多种AI加速卡</w:t>
      </w:r>
    </w:p>
    <w:p w14:paraId="6F67B995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集训练、推理能力于一身，满足不同AI负载对算力的需求</w:t>
      </w:r>
    </w:p>
    <w:p w14:paraId="5EA1F035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灵活拓扑，适配不同场景需求</w:t>
      </w:r>
    </w:p>
    <w:p w14:paraId="324F60CE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多种GPU拓扑架构，适配不同应用场景，智能调配资源，驱动算力高效运转</w:t>
      </w:r>
    </w:p>
    <w:p w14:paraId="5A01F9F2">
      <w:pPr>
        <w:numPr>
          <w:ilvl w:val="0"/>
          <w:numId w:val="7"/>
        </w:numPr>
        <w:spacing w:before="60" w:after="20" w:line="288" w:lineRule="auto"/>
        <w:ind w:left="420" w:leftChars="0" w:hanging="420" w:firstLineChars="0"/>
        <w:rPr>
          <w:rFonts w:hint="default" w:ascii="Times New Roman Regular" w:hAnsi="Times New Roman Regular" w:eastAsia="微软雅黑" w:cs="Times New Roman Regular"/>
          <w:lang w:val="en-US" w:eastAsia="zh-CN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19"/>
          <w:lang w:val="en-US" w:eastAsia="zh-CN"/>
        </w:rPr>
        <w:t>超强GPU支持，满足算力需求</w:t>
      </w:r>
    </w:p>
    <w:p w14:paraId="16F39425">
      <w:pPr>
        <w:numPr>
          <w:ilvl w:val="0"/>
          <w:numId w:val="0"/>
        </w:numPr>
        <w:spacing w:before="60" w:after="20" w:line="288" w:lineRule="auto"/>
        <w:ind w:leftChars="0"/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支持8张双宽卡、三宽卡或四宽卡，单卡功耗支持</w:t>
      </w:r>
      <w:bookmarkStart w:id="0" w:name="_GoBack"/>
      <w:bookmarkEnd w:id="0"/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  <w:lang w:val="en-US" w:eastAsia="zh-CN"/>
        </w:rPr>
        <w:t>高达600W，满足算力需求</w:t>
      </w:r>
    </w:p>
    <w:p w14:paraId="795559EF">
      <w:pPr>
        <w:pBdr>
          <w:bottom w:val="single" w:color="16BFA8" w:sz="8" w:space="2"/>
        </w:pBdr>
        <w:spacing w:before="28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/>
          <w:i w:val="0"/>
          <w:color w:val="103A66"/>
          <w:sz w:val="30"/>
        </w:rPr>
        <w:t>产品规格</w:t>
      </w:r>
    </w:p>
    <w:p w14:paraId="540D31B6">
      <w:pPr>
        <w:spacing w:before="0" w:after="120" w:line="324" w:lineRule="auto"/>
        <w:jc w:val="left"/>
        <w:rPr>
          <w:rFonts w:hint="default" w:ascii="Times New Roman Regular" w:hAnsi="Times New Roman Regular" w:eastAsia="微软雅黑" w:cs="Times New Roman Regular"/>
        </w:rPr>
      </w:pPr>
      <w:r>
        <w:rPr>
          <w:rFonts w:hint="default" w:ascii="Times New Roman Regular" w:hAnsi="Times New Roman Regular" w:eastAsia="微软雅黑" w:cs="Times New Roman Regular"/>
          <w:b w:val="0"/>
          <w:i w:val="0"/>
          <w:color w:val="6B7A8F"/>
          <w:sz w:val="18"/>
        </w:rPr>
        <w:t>产品规格以本产品支持的所有部件为基准计算，如最大内存容量以单条最大容量为准；定制配置请以实际交付为准。</w:t>
      </w:r>
    </w:p>
    <w:tbl>
      <w:tblPr>
        <w:tblStyle w:val="32"/>
        <w:tblW w:w="10293" w:type="dxa"/>
        <w:tblInd w:w="0" w:type="dxa"/>
        <w:tblBorders>
          <w:top w:val="single" w:color="C9D4E0" w:sz="4" w:space="0"/>
          <w:left w:val="single" w:color="C9D4E0" w:sz="4" w:space="0"/>
          <w:bottom w:val="single" w:color="C9D4E0" w:sz="4" w:space="0"/>
          <w:right w:val="single" w:color="C9D4E0" w:sz="4" w:space="0"/>
          <w:insideH w:val="single" w:color="C9D4E0" w:sz="4" w:space="0"/>
          <w:insideV w:val="single" w:color="C9D4E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4039"/>
        <w:gridCol w:w="4040"/>
      </w:tblGrid>
      <w:tr w14:paraId="15D713AF">
        <w:tc>
          <w:tcPr>
            <w:tcW w:w="2214" w:type="dxa"/>
            <w:shd w:val="clear" w:color="auto" w:fill="103A66"/>
            <w:vAlign w:val="center"/>
          </w:tcPr>
          <w:p w14:paraId="2CB69704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名称</w:t>
            </w:r>
          </w:p>
        </w:tc>
        <w:tc>
          <w:tcPr>
            <w:tcW w:w="8079" w:type="dxa"/>
            <w:gridSpan w:val="2"/>
            <w:shd w:val="clear" w:color="auto" w:fill="103A66"/>
            <w:vAlign w:val="center"/>
          </w:tcPr>
          <w:p w14:paraId="18444497">
            <w:pPr>
              <w:keepNext w:val="0"/>
              <w:keepLines w:val="0"/>
              <w:widowControl/>
              <w:suppressLineNumbers w:val="0"/>
              <w:spacing w:before="40" w:beforeAutospacing="0" w:after="40" w:afterAutospacing="0" w:line="300" w:lineRule="auto"/>
              <w:ind w:left="0" w:right="0"/>
              <w:jc w:val="center"/>
              <w:rPr>
                <w:rFonts w:hint="default" w:ascii="微软雅黑" w:hAnsi="微软雅黑" w:eastAsia="微软雅黑"/>
                <w:b/>
                <w:i w:val="0"/>
                <w:color w:val="FFFFFF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b/>
                <w:i w:val="0"/>
                <w:color w:val="FFFFFF"/>
                <w:sz w:val="16"/>
                <w:szCs w:val="16"/>
              </w:rPr>
              <w:t>规格参数</w:t>
            </w:r>
          </w:p>
        </w:tc>
      </w:tr>
      <w:tr w14:paraId="3D42028B">
        <w:tc>
          <w:tcPr>
            <w:tcW w:w="2214" w:type="dxa"/>
            <w:vAlign w:val="center"/>
          </w:tcPr>
          <w:p w14:paraId="0B5C56EB">
            <w:pPr>
              <w:pStyle w:val="164"/>
              <w:keepNext w:val="0"/>
              <w:keepLines w:val="0"/>
              <w:widowControl/>
              <w:suppressLineNumbers w:val="0"/>
              <w:spacing w:before="176" w:beforeAutospacing="0" w:afterAutospacing="0" w:line="182" w:lineRule="auto"/>
              <w:ind w:left="149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GPU模块</w:t>
            </w:r>
          </w:p>
        </w:tc>
        <w:tc>
          <w:tcPr>
            <w:tcW w:w="4039" w:type="dxa"/>
            <w:vAlign w:val="center"/>
          </w:tcPr>
          <w:p w14:paraId="4474C4A4">
            <w:pPr>
              <w:pStyle w:val="164"/>
              <w:keepNext w:val="0"/>
              <w:keepLines w:val="0"/>
              <w:widowControl/>
              <w:suppressLineNumbers w:val="0"/>
              <w:spacing w:before="177" w:beforeAutospacing="0" w:afterAutospacing="0" w:line="181" w:lineRule="auto"/>
              <w:ind w:left="136" w:leftChars="0" w:right="0"/>
              <w:rPr>
                <w:rFonts w:hint="eastAsia" w:eastAsia="PingFang SC"/>
                <w:lang w:val="en-US" w:eastAsia="zh-CN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5"/>
                <w:sz w:val="16"/>
                <w:szCs w:val="16"/>
              </w:rPr>
              <w:t>8卡—直通模块</w:t>
            </w:r>
          </w:p>
        </w:tc>
        <w:tc>
          <w:tcPr>
            <w:tcW w:w="4040" w:type="dxa"/>
            <w:vAlign w:val="center"/>
          </w:tcPr>
          <w:p w14:paraId="31D74EA3">
            <w:pPr>
              <w:pStyle w:val="164"/>
              <w:keepNext w:val="0"/>
              <w:keepLines w:val="0"/>
              <w:widowControl/>
              <w:suppressLineNumbers w:val="0"/>
              <w:spacing w:before="177" w:beforeAutospacing="0" w:afterAutospacing="0" w:line="181" w:lineRule="auto"/>
              <w:ind w:left="136" w:leftChars="0" w:right="0"/>
              <w:rPr>
                <w:rFonts w:hint="default"/>
                <w:color w:val="383A3A"/>
                <w:spacing w:val="-5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8卡—Switch模块</w:t>
            </w:r>
          </w:p>
        </w:tc>
      </w:tr>
      <w:tr w14:paraId="0FFC2338">
        <w:tc>
          <w:tcPr>
            <w:tcW w:w="2214" w:type="dxa"/>
            <w:shd w:val="clear" w:color="auto" w:fill="F4F7FA"/>
            <w:vAlign w:val="center"/>
          </w:tcPr>
          <w:p w14:paraId="02D58662">
            <w:pPr>
              <w:pStyle w:val="164"/>
              <w:keepNext w:val="0"/>
              <w:keepLines w:val="0"/>
              <w:widowControl/>
              <w:suppressLineNumbers w:val="0"/>
              <w:spacing w:before="234" w:beforeAutospacing="0" w:afterAutospacing="0" w:line="182" w:lineRule="auto"/>
              <w:ind w:left="14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处理器</w:t>
            </w:r>
          </w:p>
        </w:tc>
        <w:tc>
          <w:tcPr>
            <w:tcW w:w="8079" w:type="dxa"/>
            <w:gridSpan w:val="2"/>
            <w:shd w:val="clear" w:color="auto" w:fill="F4F7FA"/>
            <w:vAlign w:val="center"/>
          </w:tcPr>
          <w:p w14:paraId="75605404">
            <w:pPr>
              <w:pStyle w:val="164"/>
              <w:keepNext w:val="0"/>
              <w:keepLines w:val="0"/>
              <w:widowControl/>
              <w:suppressLineNumbers w:val="0"/>
              <w:spacing w:before="227" w:beforeAutospacing="0" w:afterAutospacing="0" w:line="178" w:lineRule="auto"/>
              <w:ind w:left="136" w:leftChars="0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最大支持2颗AMD EPYC™ 9004/9005系列处理器，单颗最大功率500W</w:t>
            </w:r>
          </w:p>
        </w:tc>
      </w:tr>
      <w:tr w14:paraId="56382857">
        <w:tc>
          <w:tcPr>
            <w:tcW w:w="2214" w:type="dxa"/>
            <w:vAlign w:val="center"/>
          </w:tcPr>
          <w:p w14:paraId="572FD6C1">
            <w:pPr>
              <w:keepNext w:val="0"/>
              <w:keepLines w:val="0"/>
              <w:widowControl/>
              <w:suppressLineNumbers w:val="0"/>
              <w:spacing w:before="0" w:beforeAutospacing="0" w:afterAutospacing="0" w:line="243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内存</w:t>
            </w:r>
          </w:p>
        </w:tc>
        <w:tc>
          <w:tcPr>
            <w:tcW w:w="8079" w:type="dxa"/>
            <w:gridSpan w:val="2"/>
            <w:vAlign w:val="center"/>
          </w:tcPr>
          <w:p w14:paraId="5F8EEC3F">
            <w:pPr>
              <w:pStyle w:val="164"/>
              <w:keepNext w:val="0"/>
              <w:keepLines w:val="0"/>
              <w:widowControl/>
              <w:suppressLineNumbers w:val="0"/>
              <w:spacing w:before="140" w:beforeAutospacing="0" w:afterAutospacing="0" w:line="188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·支持多达24个DDR5内存插槽，速率可高达6400MT/s</w:t>
            </w:r>
          </w:p>
        </w:tc>
      </w:tr>
      <w:tr w14:paraId="67F2B5C5">
        <w:tc>
          <w:tcPr>
            <w:tcW w:w="2214" w:type="dxa"/>
            <w:vAlign w:val="center"/>
          </w:tcPr>
          <w:p w14:paraId="7DD1A42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82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存储控制器</w:t>
            </w:r>
          </w:p>
        </w:tc>
        <w:tc>
          <w:tcPr>
            <w:tcW w:w="8079" w:type="dxa"/>
            <w:gridSpan w:val="2"/>
            <w:vAlign w:val="center"/>
          </w:tcPr>
          <w:p w14:paraId="1972E2B0">
            <w:pPr>
              <w:pStyle w:val="164"/>
              <w:keepNext w:val="0"/>
              <w:keepLines w:val="0"/>
              <w:widowControl/>
              <w:suppressLineNumbers w:val="0"/>
              <w:spacing w:before="215" w:beforeAutospacing="0" w:afterAutospacing="0" w:line="195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auto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可选配高性能RAID控制器，支持RAID0/1/10/5/6/50/60</w:t>
            </w:r>
          </w:p>
        </w:tc>
      </w:tr>
      <w:tr w14:paraId="25BAB32F">
        <w:tc>
          <w:tcPr>
            <w:tcW w:w="2214" w:type="dxa"/>
            <w:vAlign w:val="center"/>
          </w:tcPr>
          <w:p w14:paraId="7AF7D4B7">
            <w:pPr>
              <w:pStyle w:val="164"/>
              <w:keepNext w:val="0"/>
              <w:keepLines w:val="0"/>
              <w:widowControl/>
              <w:suppressLineNumbers w:val="0"/>
              <w:spacing w:before="263" w:beforeAutospacing="0" w:afterAutospacing="0" w:line="183" w:lineRule="auto"/>
              <w:ind w:left="145" w:leftChars="0" w:right="0"/>
              <w:rPr>
                <w:rFonts w:hint="default" w:ascii="微软雅黑" w:hAnsi="微软雅黑" w:eastAsia="微软雅黑"/>
                <w:b/>
                <w:i w:val="0"/>
                <w:color w:val="103A66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存储扩展</w:t>
            </w:r>
          </w:p>
        </w:tc>
        <w:tc>
          <w:tcPr>
            <w:tcW w:w="8079" w:type="dxa"/>
            <w:gridSpan w:val="2"/>
            <w:vAlign w:val="center"/>
          </w:tcPr>
          <w:p w14:paraId="00860ABD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·支持多达12个3.5英寸硬盘</w:t>
            </w:r>
          </w:p>
          <w:p w14:paraId="7CD7BD5C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79" w:lineRule="auto"/>
              <w:ind w:left="16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·默认支持2个2280/22110 SATA M.2 SSD</w:t>
            </w:r>
          </w:p>
        </w:tc>
      </w:tr>
      <w:tr w14:paraId="3BC4A5D5">
        <w:tc>
          <w:tcPr>
            <w:tcW w:w="2214" w:type="dxa"/>
            <w:vAlign w:val="center"/>
          </w:tcPr>
          <w:p w14:paraId="2E9215D5">
            <w:pPr>
              <w:keepNext w:val="0"/>
              <w:keepLines w:val="0"/>
              <w:widowControl/>
              <w:suppressLineNumbers w:val="0"/>
              <w:spacing w:before="0" w:beforeAutospacing="0" w:afterAutospacing="0" w:line="430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PCIe扩展</w:t>
            </w:r>
          </w:p>
        </w:tc>
        <w:tc>
          <w:tcPr>
            <w:tcW w:w="4039" w:type="dxa"/>
            <w:vAlign w:val="center"/>
          </w:tcPr>
          <w:p w14:paraId="1665EB37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·最多支持10个×16标准PCIe扩展槽位</w:t>
            </w:r>
          </w:p>
          <w:p w14:paraId="7605EE61">
            <w:pPr>
              <w:pStyle w:val="164"/>
              <w:keepNext w:val="0"/>
              <w:keepLines w:val="0"/>
              <w:widowControl/>
              <w:suppressLineNumbers w:val="0"/>
              <w:spacing w:before="174" w:beforeAutospacing="0" w:afterAutospacing="0" w:line="170" w:lineRule="auto"/>
              <w:ind w:left="156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"/>
                <w:sz w:val="16"/>
                <w:szCs w:val="16"/>
              </w:rPr>
              <w:t>·支持1个OCP3.0槽位</w:t>
            </w:r>
          </w:p>
        </w:tc>
        <w:tc>
          <w:tcPr>
            <w:tcW w:w="4040" w:type="dxa"/>
            <w:vAlign w:val="center"/>
          </w:tcPr>
          <w:p w14:paraId="76D0EEB2">
            <w:pPr>
              <w:pStyle w:val="164"/>
              <w:keepNext w:val="0"/>
              <w:keepLines w:val="0"/>
              <w:widowControl/>
              <w:suppressLineNumbers w:val="0"/>
              <w:spacing w:before="267" w:beforeAutospacing="0" w:afterAutospacing="0" w:line="170" w:lineRule="auto"/>
              <w:ind w:left="167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·最多支持13个×16标准PCIe扩展槽位</w:t>
            </w:r>
          </w:p>
          <w:p w14:paraId="2AC0B136">
            <w:pPr>
              <w:pStyle w:val="164"/>
              <w:keepNext w:val="0"/>
              <w:keepLines w:val="0"/>
              <w:widowControl/>
              <w:suppressLineNumbers w:val="0"/>
              <w:spacing w:before="267" w:beforeAutospacing="0" w:afterAutospacing="0" w:line="170" w:lineRule="auto"/>
              <w:ind w:left="167" w:right="0"/>
              <w:rPr>
                <w:rFonts w:hint="default"/>
                <w:color w:val="auto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z w:val="16"/>
                <w:szCs w:val="16"/>
              </w:rPr>
              <w:t>·支持1个OCP3.0槽位</w:t>
            </w:r>
          </w:p>
        </w:tc>
      </w:tr>
      <w:tr w14:paraId="66FA94D4">
        <w:tc>
          <w:tcPr>
            <w:tcW w:w="2214" w:type="dxa"/>
            <w:vAlign w:val="center"/>
          </w:tcPr>
          <w:p w14:paraId="0493D805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82" w:lineRule="auto"/>
              <w:ind w:left="147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管理软件</w:t>
            </w:r>
          </w:p>
        </w:tc>
        <w:tc>
          <w:tcPr>
            <w:tcW w:w="8079" w:type="dxa"/>
            <w:gridSpan w:val="2"/>
            <w:vAlign w:val="center"/>
          </w:tcPr>
          <w:p w14:paraId="12AC87F1">
            <w:pPr>
              <w:pStyle w:val="164"/>
              <w:keepNext w:val="0"/>
              <w:keepLines w:val="0"/>
              <w:widowControl/>
              <w:suppressLineNumbers w:val="0"/>
              <w:spacing w:before="197" w:beforeAutospacing="0" w:afterAutospacing="0" w:line="178" w:lineRule="auto"/>
              <w:ind w:left="134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集成BMC管理芯片AST2600，支持IPMI2.0、Redfish、SOL、KVM、虚拟媒介等功能</w:t>
            </w:r>
          </w:p>
        </w:tc>
      </w:tr>
      <w:tr w14:paraId="7FF85BB1">
        <w:tc>
          <w:tcPr>
            <w:tcW w:w="2214" w:type="dxa"/>
            <w:vAlign w:val="center"/>
          </w:tcPr>
          <w:p w14:paraId="59950A71">
            <w:pPr>
              <w:pStyle w:val="164"/>
              <w:keepNext w:val="0"/>
              <w:keepLines w:val="0"/>
              <w:widowControl/>
              <w:suppressLineNumbers w:val="0"/>
              <w:spacing w:before="188" w:beforeAutospacing="0" w:afterAutospacing="0" w:line="184" w:lineRule="auto"/>
              <w:ind w:left="154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8"/>
                <w:sz w:val="16"/>
                <w:szCs w:val="16"/>
              </w:rPr>
              <w:t>网络</w:t>
            </w:r>
          </w:p>
        </w:tc>
        <w:tc>
          <w:tcPr>
            <w:tcW w:w="8079" w:type="dxa"/>
            <w:gridSpan w:val="2"/>
            <w:vAlign w:val="center"/>
          </w:tcPr>
          <w:p w14:paraId="7C1FDF8B">
            <w:pPr>
              <w:pStyle w:val="164"/>
              <w:keepNext w:val="0"/>
              <w:keepLines w:val="0"/>
              <w:widowControl/>
              <w:suppressLineNumbers w:val="0"/>
              <w:spacing w:before="191" w:beforeAutospacing="0" w:afterAutospacing="0" w:line="187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支持1个OCP3.0网卡，可选配1/10/25/50/100/200/400GE PCIe标准网卡</w:t>
            </w:r>
          </w:p>
        </w:tc>
      </w:tr>
      <w:tr w14:paraId="499DD6E4">
        <w:tc>
          <w:tcPr>
            <w:tcW w:w="2214" w:type="dxa"/>
            <w:vAlign w:val="center"/>
          </w:tcPr>
          <w:p w14:paraId="6BEE56FD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83" w:lineRule="auto"/>
              <w:ind w:left="151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安全性</w:t>
            </w:r>
          </w:p>
        </w:tc>
        <w:tc>
          <w:tcPr>
            <w:tcW w:w="8079" w:type="dxa"/>
            <w:gridSpan w:val="2"/>
            <w:vAlign w:val="center"/>
          </w:tcPr>
          <w:p w14:paraId="61384CA5">
            <w:pPr>
              <w:pStyle w:val="164"/>
              <w:keepNext w:val="0"/>
              <w:keepLines w:val="0"/>
              <w:widowControl/>
              <w:suppressLineNumbers w:val="0"/>
              <w:spacing w:before="183" w:beforeAutospacing="0" w:afterAutospacing="0" w:line="196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支持安全机箱，TCM/TPM安全模块</w:t>
            </w:r>
          </w:p>
        </w:tc>
      </w:tr>
      <w:tr w14:paraId="6818D58C">
        <w:tc>
          <w:tcPr>
            <w:tcW w:w="2214" w:type="dxa"/>
            <w:vAlign w:val="center"/>
          </w:tcPr>
          <w:p w14:paraId="465BACC8">
            <w:pPr>
              <w:keepNext w:val="0"/>
              <w:keepLines w:val="0"/>
              <w:widowControl/>
              <w:suppressLineNumbers w:val="0"/>
              <w:spacing w:before="0" w:beforeAutospacing="0" w:afterAutospacing="0" w:line="332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风扇</w:t>
            </w:r>
          </w:p>
        </w:tc>
        <w:tc>
          <w:tcPr>
            <w:tcW w:w="8079" w:type="dxa"/>
            <w:gridSpan w:val="2"/>
            <w:vAlign w:val="center"/>
          </w:tcPr>
          <w:p w14:paraId="7167B9E9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支持2块风扇板</w:t>
            </w:r>
          </w:p>
          <w:p w14:paraId="6D424FD7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·下2U风扇板可支持4个8056标准版/8056增强版，N+1热插拔冗余</w:t>
            </w:r>
          </w:p>
          <w:p w14:paraId="3A050FC3">
            <w:pPr>
              <w:pStyle w:val="164"/>
              <w:keepNext w:val="0"/>
              <w:keepLines w:val="0"/>
              <w:widowControl/>
              <w:suppressLineNumbers w:val="0"/>
              <w:spacing w:before="138" w:beforeAutospacing="0" w:afterAutospacing="0" w:line="182" w:lineRule="auto"/>
              <w:ind w:left="125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2"/>
                <w:sz w:val="16"/>
                <w:szCs w:val="16"/>
              </w:rPr>
              <w:t>·中部风扇板可支持10个8056标准版/8056增强版，N+1热插拔冗余</w:t>
            </w:r>
          </w:p>
        </w:tc>
      </w:tr>
      <w:tr w14:paraId="79839CC2">
        <w:tc>
          <w:tcPr>
            <w:tcW w:w="2214" w:type="dxa"/>
            <w:vAlign w:val="center"/>
          </w:tcPr>
          <w:p w14:paraId="41632AC7">
            <w:pPr>
              <w:pStyle w:val="164"/>
              <w:keepNext w:val="0"/>
              <w:keepLines w:val="0"/>
              <w:widowControl/>
              <w:suppressLineNumbers w:val="0"/>
              <w:spacing w:before="235" w:beforeAutospacing="0" w:afterAutospacing="0" w:line="182" w:lineRule="auto"/>
              <w:ind w:left="160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10"/>
                <w:sz w:val="16"/>
                <w:szCs w:val="16"/>
              </w:rPr>
              <w:t>电源</w:t>
            </w:r>
          </w:p>
        </w:tc>
        <w:tc>
          <w:tcPr>
            <w:tcW w:w="8079" w:type="dxa"/>
            <w:gridSpan w:val="2"/>
            <w:vAlign w:val="center"/>
          </w:tcPr>
          <w:p w14:paraId="5C82C4B2">
            <w:pPr>
              <w:pStyle w:val="164"/>
              <w:keepNext w:val="0"/>
              <w:keepLines w:val="0"/>
              <w:widowControl/>
              <w:suppressLineNumbers w:val="0"/>
              <w:spacing w:before="214" w:beforeAutospacing="0" w:afterAutospacing="0" w:line="188" w:lineRule="auto"/>
              <w:ind w:left="135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最大支持8个2000W/2400W/2600W/2700W/3200W等白金电源，可选钛金电源，支持N+N冗余/N+1热插拔冗余</w:t>
            </w:r>
          </w:p>
        </w:tc>
      </w:tr>
      <w:tr w14:paraId="58432EC1">
        <w:tc>
          <w:tcPr>
            <w:tcW w:w="2214" w:type="dxa"/>
            <w:vAlign w:val="center"/>
          </w:tcPr>
          <w:p w14:paraId="0B866075">
            <w:pPr>
              <w:pStyle w:val="164"/>
              <w:keepNext w:val="0"/>
              <w:keepLines w:val="0"/>
              <w:widowControl/>
              <w:suppressLineNumbers w:val="0"/>
              <w:spacing w:before="184" w:beforeAutospacing="0" w:afterAutospacing="0" w:line="182" w:lineRule="auto"/>
              <w:ind w:left="149" w:leftChars="0" w:right="0"/>
              <w:rPr>
                <w:rFonts w:hint="default"/>
                <w:color w:val="383A3A"/>
                <w:spacing w:val="-3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工作温度</w:t>
            </w:r>
          </w:p>
        </w:tc>
        <w:tc>
          <w:tcPr>
            <w:tcW w:w="8079" w:type="dxa"/>
            <w:gridSpan w:val="2"/>
            <w:vAlign w:val="center"/>
          </w:tcPr>
          <w:p w14:paraId="78EE3201">
            <w:pPr>
              <w:pStyle w:val="164"/>
              <w:keepNext w:val="0"/>
              <w:keepLines w:val="0"/>
              <w:widowControl/>
              <w:suppressLineNumbers w:val="0"/>
              <w:spacing w:before="162" w:beforeAutospacing="0" w:afterAutospacing="0" w:line="180" w:lineRule="auto"/>
              <w:ind w:left="136" w:leftChars="0" w:right="0"/>
              <w:rPr>
                <w:rFonts w:hint="default" w:ascii="微软雅黑" w:hAnsi="微软雅黑" w:eastAsia="微软雅黑"/>
                <w:b w:val="0"/>
                <w:i w:val="0"/>
                <w:color w:val="16283A"/>
                <w:sz w:val="18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1"/>
                <w:sz w:val="16"/>
                <w:szCs w:val="16"/>
              </w:rPr>
              <w:t>0℃~35℃（工作温度支持受不同配置影响，详情请参考产品技术文档）</w:t>
            </w:r>
          </w:p>
        </w:tc>
      </w:tr>
      <w:tr w14:paraId="2F5E6D7D">
        <w:tc>
          <w:tcPr>
            <w:tcW w:w="2214" w:type="dxa"/>
            <w:vAlign w:val="center"/>
          </w:tcPr>
          <w:p w14:paraId="1EB01532">
            <w:pPr>
              <w:keepNext w:val="0"/>
              <w:keepLines w:val="0"/>
              <w:widowControl/>
              <w:suppressLineNumbers w:val="0"/>
              <w:spacing w:before="0" w:beforeAutospacing="0" w:afterAutospacing="0" w:line="244" w:lineRule="auto"/>
              <w:ind w:left="0" w:right="0"/>
              <w:rPr>
                <w:rFonts w:hint="default" w:ascii="Arial"/>
                <w:sz w:val="21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4"/>
                <w:sz w:val="16"/>
                <w:szCs w:val="16"/>
              </w:rPr>
              <w:t>外形/机箱尺寸</w:t>
            </w:r>
          </w:p>
        </w:tc>
        <w:tc>
          <w:tcPr>
            <w:tcW w:w="8079" w:type="dxa"/>
            <w:gridSpan w:val="2"/>
            <w:vAlign w:val="center"/>
          </w:tcPr>
          <w:p w14:paraId="76EFAFB6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6U机箱</w:t>
            </w:r>
          </w:p>
          <w:p w14:paraId="057E80FB">
            <w:pPr>
              <w:pStyle w:val="164"/>
              <w:keepNext w:val="0"/>
              <w:keepLines w:val="0"/>
              <w:widowControl/>
              <w:suppressLineNumbers w:val="0"/>
              <w:spacing w:before="133" w:beforeAutospacing="0" w:afterAutospacing="0" w:line="182" w:lineRule="auto"/>
              <w:ind w:left="137" w:right="0"/>
              <w:rPr>
                <w:rFonts w:hint="default"/>
              </w:rPr>
            </w:pPr>
            <w:r>
              <w:rPr>
                <w:rFonts w:hint="default" w:ascii="Times New Roman Regular" w:hAnsi="Times New Roman Regular" w:eastAsia="微软雅黑" w:cs="Times New Roman Regular"/>
                <w:color w:val="auto"/>
                <w:spacing w:val="-3"/>
                <w:sz w:val="16"/>
                <w:szCs w:val="16"/>
              </w:rPr>
              <w:t>·263.7mm（高）×447mm（宽）×916mm（深）（不含挂耳）</w:t>
            </w:r>
          </w:p>
        </w:tc>
      </w:tr>
    </w:tbl>
    <w:p w14:paraId="17F784E2">
      <w:pPr>
        <w:rPr>
          <w:rFonts w:hint="default" w:ascii="Times New Roman Regular" w:hAnsi="Times New Roman Regular" w:eastAsia="微软雅黑" w:cs="Times New Roman Regular"/>
        </w:rPr>
      </w:pPr>
    </w:p>
    <w:sectPr>
      <w:headerReference r:id="rId5" w:type="default"/>
      <w:footerReference r:id="rId6" w:type="default"/>
      <w:pgSz w:w="11906" w:h="16838"/>
      <w:pgMar w:top="964" w:right="964" w:bottom="964" w:left="964" w:header="567" w:footer="56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ambria">
    <w:altName w:val="苹方-简"/>
    <w:panose1 w:val="02040503050406030204"/>
    <w:charset w:val="00"/>
    <w:family w:val="auto"/>
    <w:pitch w:val="default"/>
    <w:sig w:usb0="00000000" w:usb1="00000000" w:usb2="00000000" w:usb3="00000000" w:csb0="0000019F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ＭＳ 明朝">
    <w:altName w:val="Hiragino Sans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Hiragino Sans">
    <w:panose1 w:val="020B0300000000000000"/>
    <w:charset w:val="80"/>
    <w:family w:val="auto"/>
    <w:pitch w:val="default"/>
    <w:sig w:usb0="E00002FF" w:usb1="7AE7FFFF" w:usb2="00000012" w:usb3="00000000" w:csb0="0002000D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ＭＳ ゴシック">
    <w:altName w:val="Hiragino Sans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Courier">
    <w:altName w:val="苹方-简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微软雅黑">
    <w:altName w:val="汉仪旗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ＭＳ 明朝">
    <w:altName w:val="Hiragino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ゴシック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099987">
    <w:pPr>
      <w:pStyle w:val="24"/>
      <w:jc w:val="center"/>
    </w:pPr>
    <w:r>
      <w:rPr>
        <w:rFonts w:ascii="微软雅黑" w:hAnsi="微软雅黑" w:eastAsia="微软雅黑"/>
        <w:b w:val="0"/>
        <w:i w:val="0"/>
        <w:color w:val="6B7A8F"/>
        <w:sz w:val="16"/>
      </w:rPr>
      <w:t xml:space="preserve">世沅科技    </w:t>
    </w:r>
    <w:r>
      <w:fldChar w:fldCharType="begin"/>
    </w:r>
    <w:r>
      <w:instrText xml:space="preserve">PAGE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92B8FF">
    <w:pPr>
      <w:pStyle w:val="25"/>
      <w:keepNext w:val="0"/>
      <w:keepLines w:val="0"/>
      <w:pageBreakBefore w:val="0"/>
      <w:widowControl/>
      <w:pBdr>
        <w:bottom w:val="single" w:color="103A66" w:sz="6" w:space="1"/>
      </w:pBdr>
      <w:kinsoku/>
      <w:wordWrap/>
      <w:overflowPunct/>
      <w:topLinePunct w:val="0"/>
      <w:bidi w:val="0"/>
      <w:adjustRightInd/>
      <w:snapToGrid/>
      <w:spacing w:after="80"/>
      <w:jc w:val="both"/>
      <w:textAlignment w:val="auto"/>
      <w:rPr>
        <w:sz w:val="36"/>
        <w:szCs w:val="36"/>
      </w:rPr>
    </w:pPr>
    <w:r>
      <w:rPr>
        <w:rFonts w:ascii="微软雅黑" w:hAnsi="微软雅黑" w:eastAsia="微软雅黑"/>
        <w:b/>
        <w:i w:val="0"/>
        <w:color w:val="103A66"/>
        <w:sz w:val="22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17145</wp:posOffset>
          </wp:positionV>
          <wp:extent cx="193040" cy="193040"/>
          <wp:effectExtent l="0" t="0" r="10160" b="10160"/>
          <wp:wrapTopAndBottom/>
          <wp:docPr id="2" name="图片 2" descr="logo-squ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logo-squar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3040" cy="1930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b/>
        <w:i w:val="0"/>
        <w:color w:val="103A66"/>
        <w:sz w:val="22"/>
        <w:szCs w:val="36"/>
        <w:lang w:val="en-US" w:eastAsia="zh-CN"/>
      </w:rPr>
      <w:t xml:space="preserve">   </w:t>
    </w:r>
    <w:r>
      <w:rPr>
        <w:rFonts w:ascii="微软雅黑" w:hAnsi="微软雅黑" w:eastAsia="微软雅黑"/>
        <w:b/>
        <w:i w:val="0"/>
        <w:color w:val="103A66"/>
        <w:sz w:val="22"/>
        <w:szCs w:val="36"/>
      </w:rPr>
      <w:t xml:space="preserve">世沅科技 SEYUAN   </w:t>
    </w:r>
    <w:r>
      <w:rPr>
        <w:rFonts w:ascii="微软雅黑" w:hAnsi="微软雅黑" w:eastAsia="微软雅黑"/>
        <w:b w:val="0"/>
        <w:i w:val="0"/>
        <w:color w:val="6B7A8F"/>
        <w:sz w:val="22"/>
        <w:szCs w:val="36"/>
      </w:rPr>
      <w:t>|   产品彩页 Data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9E0716"/>
    <w:multiLevelType w:val="singleLevel"/>
    <w:tmpl w:val="BB9E0716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2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3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4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5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6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1"/>
  <w:bordersDoNotSurroundHeader w:val="0"/>
  <w:bordersDoNotSurroundFooter w:val="0"/>
  <w:documentProtection w:enforcement="0"/>
  <w:defaultTabStop w:val="720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FFD41E5"/>
    <w:rsid w:val="36FD3F10"/>
    <w:rsid w:val="373E62E7"/>
    <w:rsid w:val="3B7F094F"/>
    <w:rsid w:val="3F5FFC70"/>
    <w:rsid w:val="4BFF167C"/>
    <w:rsid w:val="56DB178D"/>
    <w:rsid w:val="5EBA5FC4"/>
    <w:rsid w:val="5F7C6E5C"/>
    <w:rsid w:val="5FEFA303"/>
    <w:rsid w:val="77AB7FAD"/>
    <w:rsid w:val="7B7ADD32"/>
    <w:rsid w:val="7D6A76A4"/>
    <w:rsid w:val="7DFB24B3"/>
    <w:rsid w:val="B1EF3BD7"/>
    <w:rsid w:val="DBFB61FF"/>
    <w:rsid w:val="DECE3029"/>
    <w:rsid w:val="DFBF5B96"/>
    <w:rsid w:val="DFFBCBE0"/>
    <w:rsid w:val="FEE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uiPriority w:val="1"/>
  </w:style>
  <w:style w:type="table" w:default="1" w:styleId="32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uiPriority w:val="99"/>
    <w:pPr>
      <w:spacing w:after="120"/>
    </w:pPr>
  </w:style>
  <w:style w:type="paragraph" w:styleId="20">
    <w:name w:val="List Number 3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29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uiPriority w:val="99"/>
  </w:style>
  <w:style w:type="character" w:customStyle="1" w:styleId="145">
    <w:name w:val="Body Text 2 Char"/>
    <w:basedOn w:val="132"/>
    <w:link w:val="28"/>
    <w:uiPriority w:val="99"/>
  </w:style>
  <w:style w:type="character" w:customStyle="1" w:styleId="146">
    <w:name w:val="Body Text 3 Char"/>
    <w:basedOn w:val="132"/>
    <w:link w:val="17"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  <w:style w:type="paragraph" w:customStyle="1" w:styleId="164">
    <w:name w:val="Table Text"/>
    <w:basedOn w:val="1"/>
    <w:semiHidden/>
    <w:qFormat/>
    <w:uiPriority w:val="0"/>
    <w:rPr>
      <w:rFonts w:ascii="PingFang SC" w:hAnsi="PingFang SC" w:eastAsia="PingFang SC" w:cs="PingFang SC"/>
      <w:sz w:val="16"/>
      <w:szCs w:val="16"/>
      <w:lang w:val="en-US" w:eastAsia="en-US" w:bidi="ar-SA"/>
    </w:rPr>
  </w:style>
  <w:style w:type="table" w:customStyle="1" w:styleId="16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1</Lines>
  <Paragraphs>1</Paragraphs>
  <TotalTime>4</TotalTime>
  <ScaleCrop>false</ScaleCrop>
  <LinksUpToDate>false</LinksUpToDate>
  <CharactersWithSpaces>0</CharactersWithSpaces>
  <Application>WPS Office_12.1.25869.25869_F1E327BC-269C-435d-A152-05C5408002CA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产品彩页</cp:category>
  <dcterms:created xsi:type="dcterms:W3CDTF">2013-12-25T07:15:00Z</dcterms:created>
  <dc:creator>世沅科技</dc:creator>
  <dc:description>含 直通/Switch 双列规格，仅作对照用</dc:description>
  <cp:keywords>SG6120A5;GPU服务器;AI服务器;AMD EPYC;世沅科技</cp:keywords>
  <cp:lastModifiedBy>沈歪歪丶</cp:lastModifiedBy>
  <dcterms:modified xsi:type="dcterms:W3CDTF">2026-10-19T16:48:30Z</dcterms:modified>
  <dc:subject>SG6120A5 6U 双路 AI 加速服务器 产品彩页</dc:subject>
  <dc:title>世沅科技产品彩页 SG6120A5（双列对照版）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2052-12.1.25869.25869</vt:lpwstr>
  </property>
  <property fmtid="{D5CDD505-2E9C-101B-9397-08002B2CF9AE}" pid="3" name="ICV">
    <vt:lpwstr>2D92CDC660DBA4C18834CF6A15A7682B_42</vt:lpwstr>
  </property>
</Properties>
</file>