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8"/>
      </w:tblGrid>
      <w:tr w14:paraId="7A763413">
        <w:trPr>
          <w:trHeight w:val="482" w:hRule="atLeast"/>
        </w:trPr>
        <w:tc>
          <w:tcPr>
            <w:tcW w:w="9865" w:type="dxa"/>
            <w:shd w:val="clear" w:color="auto" w:fill="103A66"/>
            <w:vAlign w:val="center"/>
          </w:tcPr>
          <w:p w14:paraId="10CAD0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70" w:right="0"/>
              <w:jc w:val="left"/>
              <w:rPr>
                <w:rFonts w:hint="default" w:eastAsia="微软雅黑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40"/>
                <w:szCs w:val="40"/>
              </w:rPr>
              <w:t>2U 双路通用服务器</w:t>
            </w:r>
          </w:p>
        </w:tc>
      </w:tr>
    </w:tbl>
    <w:p w14:paraId="10DBA14A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21"/>
          <w:szCs w:val="16"/>
        </w:rPr>
      </w:pPr>
    </w:p>
    <w:p w14:paraId="2B6C62BA">
      <w:pPr>
        <w:pBdr>
          <w:bottom w:val="single" w:color="16BFA8" w:sz="8" w:space="2"/>
        </w:pBdr>
        <w:spacing w:before="280" w:after="120" w:line="324" w:lineRule="auto"/>
        <w:jc w:val="center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6"/>
          <w:szCs w:val="28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6"/>
          <w:szCs w:val="28"/>
        </w:rPr>
        <w:t>SC2220X5</w:t>
      </w:r>
    </w:p>
    <w:p w14:paraId="6348860A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  <w:r>
        <w:rPr>
          <w:rFonts w:hint="default" w:ascii="Times New Roman Regular" w:hAnsi="Times New Roman Regular" w:eastAsia="微软雅黑" w:cs="Times New Roman Regula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1668145</wp:posOffset>
            </wp:positionH>
            <wp:positionV relativeFrom="paragraph">
              <wp:posOffset>372745</wp:posOffset>
            </wp:positionV>
            <wp:extent cx="3094990" cy="1613535"/>
            <wp:effectExtent l="0" t="0" r="3810" b="1524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4990" cy="1613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C2F30B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786DA449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5061B755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09C89A7F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24"/>
          <w:szCs w:val="20"/>
        </w:rPr>
      </w:pPr>
    </w:p>
    <w:p w14:paraId="617E191B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eastAsia="微软雅黑" w:ascii="Times New Roman Regular" w:hAnsi="Times New Roman Regular" w:cs="Times New Roman Regular"/>
          <w:lang w:eastAsia="zh-CN"/>
        </w:rPr>
      </w:pPr>
      <w:r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  <w:t>产品</w:t>
      </w: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  <w:lang w:val="en-US" w:eastAsia="zh-CN"/>
        </w:rPr>
        <w:t>概述</w:t>
      </w:r>
    </w:p>
    <w:p w14:paraId="18903C16">
      <w:pPr>
        <w:spacing w:before="0" w:after="160" w:line="348" w:lineRule="auto"/>
        <w:ind w:firstLine="720" w:firstLineChars="0"/>
        <w:jc w:val="both"/>
        <w:rPr>
          <w:rFonts w:ascii="Times New Roman Regular" w:hAnsi="Times New Roman Regular" w:eastAsia="微软雅黑" w:hint="default" w:cs="Times New Roman Regular"/>
          <w:b w:val="0"/>
          <w:i w:val="0"/>
          <w:color w:val="16283A"/>
          <w:sz w:val="20"/>
          <w:szCs w:val="22"/>
          <w:lang w:val="en-US" w:eastAsia="en-US" w:bidi="ar-SA"/>
        </w:rPr>
      </w:pPr>
      <w:r>
        <w:rPr>
          <w:rFonts w:ascii="Times New Roman Regular" w:hAnsi="Times New Roman Regular" w:eastAsia="微软雅黑" w:hint="default" w:cs="Times New Roman Regular"/>
          <w:b w:val="0"/>
          <w:i w:val="0"/>
          <w:color w:val="16283A"/>
          <w:sz w:val="20"/>
        </w:rPr>
        <w:t>SC2220X5 是世沅科技面向企业客户打造的 2U 双路通用服务器，基于最多2颗英特尔®至强®第四代或第五代可扩展处理器或澜起津逮®处理器，配合16通道5600MT/s DDR5内存技术，为用户提供高达50%的带宽提升。通过12个PCIe插槽和多达29个硬盘插槽的支持，实现灵活的扩展能力。96%的电源能效，以及0℃~45℃的标准工作温度设计，为用户提供更高的能效回报。</w:t>
      </w:r>
    </w:p>
    <w:p w14:paraId="122DA00B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  <w:t>产品</w:t>
      </w: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  <w:lang w:val="en-US" w:eastAsia="zh-CN"/>
        </w:rPr>
        <w:t>特性</w:t>
      </w:r>
    </w:p>
    <w:p w14:paraId="74D1B15C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应用场景</w:t>
      </w:r>
    </w:p>
    <w:p w14:paraId="142BB608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计算密集型应用、动态工作负载（数据库、虚拟化、私有云与公有云）、大数据处理、人工智能/机器学习、金融高速交易系统等；</w:t>
      </w:r>
    </w:p>
    <w:p w14:paraId="3BC548C1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</w:rPr>
        <w:t>开放生态，轻松管理</w:t>
      </w:r>
    </w:p>
    <w:p w14:paraId="6F67B995">
      <w:pP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基于OCSP规范的开放生态设计，基于Open BMC的服务器管理</w:t>
      </w:r>
    </w:p>
    <w:p w14:paraId="5EA1F035">
      <w:pPr>
        <w:numPr>
          <w:ilvl w:val="0"/>
          <w:numId w:val="7"/>
        </w:numPr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强大扩展能力</w:t>
      </w:r>
    </w:p>
    <w:p w14:paraId="324F60CE">
      <w:pP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  <w:t>多达32个内存插槽、29个硬盘插槽与12个PCIe扩展槽位</w:t>
      </w:r>
    </w:p>
    <w:p w14:paraId="5A01F9F2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模块化设计，易维护</w:t>
      </w:r>
    </w:p>
    <w:p w14:paraId="16F39425">
      <w:pP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快速拆装、核心部件热插拔</w:t>
      </w:r>
    </w:p>
    <w:p w14:paraId="795559EF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  <w:t>产品规格</w:t>
      </w:r>
    </w:p>
    <w:p w14:paraId="540D31B6">
      <w:pPr>
        <w:spacing w:before="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ascii="Times New Roman Regular" w:hAnsi="Times New Roman Regular" w:eastAsia="微软雅黑" w:hint="default" w:cs="Times New Roman Regular"/>
          <w:b w:val="0"/>
          <w:i w:val="0"/>
          <w:color w:val="6B7A8F"/>
          <w:sz w:val="18"/>
        </w:rPr>
        <w:t>产品规格以本产品支持的所有部件为基准计算，如最大内存容量以单条最大容量为准；定制配置请以实际交付为准。</w:t>
      </w:r>
    </w:p>
    <w:tbl>
      <w:tblPr>
        <w:tblStyle w:val="32"/>
        <w:tblW w:w="10293" w:type="dxa"/>
        <w:tblInd w:w="0" w:type="dxa"/>
        <w:tblBorders>
          <w:top w:val="single" w:color="C9D4E0" w:sz="4" w:space="0"/>
          <w:left w:val="single" w:color="C9D4E0" w:sz="4" w:space="0"/>
          <w:bottom w:val="single" w:color="C9D4E0" w:sz="4" w:space="0"/>
          <w:right w:val="single" w:color="C9D4E0" w:sz="4" w:space="0"/>
          <w:insideH w:val="single" w:color="C9D4E0" w:sz="4" w:space="0"/>
          <w:insideV w:val="single" w:color="C9D4E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4"/>
        <w:gridCol w:w="8079"/>
      </w:tblGrid>
      <w:tr w14:paraId="15D713AF">
        <w:tc>
          <w:tcPr>
            <w:tcW w:w="2214" w:type="dxa"/>
            <w:shd w:val="clear" w:color="auto" w:fill="103A66"/>
            <w:vAlign w:val="center"/>
          </w:tcPr>
          <w:p w14:paraId="2CB6970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微软雅黑" w:hAnsi="微软雅黑" w:eastAsia="微软雅黑"/>
                <w:b/>
                <w:i w:val="0"/>
                <w:color w:val="FFFFFF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16"/>
                <w:szCs w:val="16"/>
              </w:rPr>
              <w:t>名称</w:t>
            </w:r>
          </w:p>
        </w:tc>
        <w:tc>
          <w:tcPr>
            <w:tcW w:w="8079" w:type="dxa"/>
            <w:shd w:val="clear" w:color="auto" w:fill="103A66"/>
            <w:vAlign w:val="center"/>
          </w:tcPr>
          <w:p w14:paraId="18444497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微软雅黑" w:hAnsi="微软雅黑" w:eastAsia="微软雅黑"/>
                <w:b/>
                <w:i w:val="0"/>
                <w:color w:val="FFFFFF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16"/>
                <w:szCs w:val="16"/>
              </w:rPr>
              <w:t>规格参数</w:t>
            </w:r>
          </w:p>
        </w:tc>
      </w:tr>
      <w:tr w14:paraId="0FFC2338">
        <w:tc>
          <w:tcPr>
            <w:tcW w:w="2214" w:type="dxa"/>
            <w:shd w:val="clear" w:color="auto" w:fill="F4F7FA"/>
            <w:vAlign w:val="center"/>
          </w:tcPr>
          <w:p w14:paraId="02D58662">
            <w:pPr>
              <w:pStyle w:val="164"/>
              <w:keepNext w:val="0"/>
              <w:keepLines w:val="0"/>
              <w:widowControl/>
              <w:suppressLineNumbers w:val="0"/>
              <w:spacing w:before="234" w:beforeAutospacing="0" w:afterAutospacing="0" w:line="182" w:lineRule="auto"/>
              <w:ind w:left="146" w:leftChars="0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处理器</w:t>
            </w:r>
          </w:p>
        </w:tc>
        <w:tc>
          <w:tcPr>
            <w:tcW w:w="8079" w:type="dxa"/>
            <w:shd w:val="clear" w:color="auto" w:fill="F4F7FA"/>
            <w:vAlign w:val="center"/>
          </w:tcPr>
          <w:p w14:paraId="75605404">
            <w:pPr>
              <w:pStyle w:val="164"/>
              <w:keepNext w:val="0"/>
              <w:keepLines w:val="0"/>
              <w:widowControl/>
              <w:suppressLineNumbers w:val="0"/>
              <w:spacing w:before="227" w:beforeAutospacing="0" w:afterAutospacing="0" w:line="178" w:lineRule="auto"/>
              <w:ind w:left="136" w:leftChars="0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最大支持2颗英特尔®至强®第四代或第五代可扩展处理器或澜起津逮®处理器系列，单颗最多64个内核，最大功率350W，支持HBM技术</w:t>
            </w:r>
          </w:p>
        </w:tc>
      </w:tr>
      <w:tr w14:paraId="56382857">
        <w:tc>
          <w:tcPr>
            <w:tcW w:w="2214" w:type="dxa"/>
            <w:vAlign w:val="center"/>
          </w:tcPr>
          <w:p w14:paraId="572FD6C1">
            <w:pPr>
              <w:keepNext w:val="0"/>
              <w:keepLines w:val="0"/>
              <w:widowControl/>
              <w:suppressLineNumbers w:val="0"/>
              <w:spacing w:before="0" w:beforeAutospacing="0" w:afterAutospacing="0" w:line="243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8"/>
                <w:sz w:val="16"/>
                <w:szCs w:val="16"/>
              </w:rPr>
              <w:t>芯片组</w:t>
            </w:r>
          </w:p>
        </w:tc>
        <w:tc>
          <w:tcPr>
            <w:tcW w:w="8079" w:type="dxa"/>
            <w:vAlign w:val="center"/>
          </w:tcPr>
          <w:p w14:paraId="5F8EEC3F">
            <w:pPr>
              <w:pStyle w:val="164"/>
              <w:keepNext w:val="0"/>
              <w:keepLines w:val="0"/>
              <w:widowControl/>
              <w:suppressLineNumbers w:val="0"/>
              <w:spacing w:before="140" w:beforeAutospacing="0" w:afterAutospacing="0" w:line="188" w:lineRule="auto"/>
              <w:ind w:left="166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C741</w:t>
            </w:r>
          </w:p>
        </w:tc>
      </w:tr>
      <w:tr w14:paraId="67F2B5C5">
        <w:tc>
          <w:tcPr>
            <w:tcW w:w="2214" w:type="dxa"/>
            <w:vAlign w:val="center"/>
          </w:tcPr>
          <w:p w14:paraId="7DD1A420">
            <w:pPr>
              <w:pStyle w:val="164"/>
              <w:keepNext w:val="0"/>
              <w:keepLines w:val="0"/>
              <w:widowControl/>
              <w:suppressLineNumbers w:val="0"/>
              <w:spacing w:before="215" w:beforeAutospacing="0" w:afterAutospacing="0" w:line="182" w:lineRule="auto"/>
              <w:ind w:left="145" w:leftChars="0" w:right="0"/>
              <w:rPr>
                <w:rFonts w:hint="default" w:ascii="微软雅黑" w:hAnsi="微软雅黑" w:eastAsia="微软雅黑"/>
                <w:b/>
                <w:i w:val="0"/>
                <w:color w:val="103A66"/>
                <w:sz w:val="18"/>
              </w:rPr>
            </w:pPr>
            <w:bookmarkStart w:id="0" w:name="_GoBack" w:colFirst="1" w:colLast="1"/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内存</w:t>
            </w:r>
          </w:p>
        </w:tc>
        <w:tc>
          <w:tcPr>
            <w:tcW w:w="8079" w:type="dxa"/>
            <w:vAlign w:val="center"/>
          </w:tcPr>
          <w:p w14:paraId="1972E2B0">
            <w:pPr>
              <w:pStyle w:val="164"/>
              <w:keepNext w:val="0"/>
              <w:keepLines w:val="0"/>
              <w:widowControl/>
              <w:suppressLineNumbers w:val="0"/>
              <w:spacing w:before="215" w:beforeAutospacing="0" w:afterAutospacing="0" w:line="195" w:lineRule="auto"/>
              <w:ind w:left="134" w:leftChars="0" w:right="0"/>
              <w:rPr>
                <w:rFonts w:hint="default" w:ascii="微软雅黑" w:hAnsi="微软雅黑" w:eastAsia="微软雅黑"/>
                <w:b w:val="0"/>
                <w:i w:val="0"/>
                <w:color w:val="auto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支持多达32个DDR5内存插槽，速率可高达5600MT/s，支持RDIMM，容量可多达8TB</w:t>
            </w:r>
          </w:p>
          <w:p w14:paraId="0B369AE1">
            <w:pPr>
              <w:pStyle w:val="164"/>
              <w:keepNext w:val="0"/>
              <w:keepLines w:val="0"/>
              <w:widowControl/>
              <w:suppressLineNumbers w:val="0"/>
              <w:spacing w:before="215" w:beforeAutospacing="0" w:afterAutospacing="0" w:line="195" w:lineRule="auto"/>
              <w:ind w:left="134" w:leftChars="0" w:right="0"/>
              <w:rPr>
                <w:rFonts w:hint="default" w:ascii="微软雅黑" w:hAnsi="微软雅黑" w:eastAsia="微软雅黑"/>
                <w:b w:val="0"/>
                <w:i w:val="0"/>
                <w:color w:val="auto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支持CXL 1.1</w:t>
            </w:r>
          </w:p>
        </w:tc>
      </w:tr>
      <w:tr w14:paraId="25BAB32F">
        <w:tc>
          <w:tcPr>
            <w:tcW w:w="2214" w:type="dxa"/>
            <w:vAlign w:val="center"/>
          </w:tcPr>
          <w:p w14:paraId="7AF7D4B7">
            <w:pPr>
              <w:pStyle w:val="164"/>
              <w:keepNext w:val="0"/>
              <w:keepLines w:val="0"/>
              <w:widowControl/>
              <w:suppressLineNumbers w:val="0"/>
              <w:spacing w:before="263" w:beforeAutospacing="0" w:afterAutospacing="0" w:line="183" w:lineRule="auto"/>
              <w:ind w:left="145" w:leftChars="0" w:right="0"/>
              <w:rPr>
                <w:rFonts w:hint="default" w:ascii="微软雅黑" w:hAnsi="微软雅黑" w:eastAsia="微软雅黑"/>
                <w:b/>
                <w:i w:val="0"/>
                <w:color w:val="103A66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存储控制器</w:t>
            </w:r>
          </w:p>
        </w:tc>
        <w:tc>
          <w:tcPr>
            <w:tcW w:w="8079" w:type="dxa"/>
            <w:vAlign w:val="center"/>
          </w:tcPr>
          <w:p w14:paraId="00860ABD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79" w:lineRule="auto"/>
              <w:ind w:left="16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可选配高性能RAID控制器，支持RAID0/1/10/5/6/50/60</w:t>
            </w:r>
          </w:p>
        </w:tc>
      </w:tr>
      <w:tr w14:paraId="3BC4A5D5">
        <w:tc>
          <w:tcPr>
            <w:tcW w:w="2214" w:type="dxa"/>
            <w:vAlign w:val="center"/>
          </w:tcPr>
          <w:p w14:paraId="2E9215D5">
            <w:pPr>
              <w:keepNext w:val="0"/>
              <w:keepLines w:val="0"/>
              <w:widowControl/>
              <w:suppressLineNumbers w:val="0"/>
              <w:spacing w:before="0" w:beforeAutospacing="0" w:afterAutospacing="0" w:line="430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存储扩展</w:t>
            </w:r>
          </w:p>
        </w:tc>
        <w:tc>
          <w:tcPr>
            <w:tcW w:w="8079" w:type="dxa"/>
            <w:vAlign w:val="center"/>
          </w:tcPr>
          <w:p w14:paraId="1665EB37">
            <w:pPr>
              <w:pStyle w:val="164"/>
              <w:keepNext w:val="0"/>
              <w:keepLines w:val="0"/>
              <w:widowControl/>
              <w:suppressLineNumbers w:val="0"/>
              <w:spacing w:before="174" w:beforeAutospacing="0" w:afterAutospacing="0" w:line="170" w:lineRule="auto"/>
              <w:ind w:left="15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支持多达29块硬盘</w:t>
            </w:r>
          </w:p>
          <w:p w14:paraId="21219E72">
            <w:pPr>
              <w:pStyle w:val="164"/>
              <w:keepNext w:val="0"/>
              <w:keepLines w:val="0"/>
              <w:widowControl/>
              <w:suppressLineNumbers w:val="0"/>
              <w:spacing w:before="174" w:beforeAutospacing="0" w:afterAutospacing="0" w:line="170" w:lineRule="auto"/>
              <w:ind w:left="15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 xml:space="preserve">支持多达12块3.5英寸硬盘（12块前置）</w:t>
            </w:r>
          </w:p>
          <w:p w14:paraId="68A440EB">
            <w:pPr>
              <w:pStyle w:val="164"/>
              <w:keepNext w:val="0"/>
              <w:keepLines w:val="0"/>
              <w:widowControl/>
              <w:suppressLineNumbers w:val="0"/>
              <w:spacing w:before="174" w:beforeAutospacing="0" w:afterAutospacing="0" w:line="170" w:lineRule="auto"/>
              <w:ind w:left="15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 xml:space="preserve">支持多达25块2.5英寸硬盘（25块前置）</w:t>
            </w:r>
          </w:p>
          <w:p w14:paraId="5416984F">
            <w:pPr>
              <w:pStyle w:val="164"/>
              <w:keepNext w:val="0"/>
              <w:keepLines w:val="0"/>
              <w:widowControl/>
              <w:suppressLineNumbers w:val="0"/>
              <w:spacing w:before="174" w:beforeAutospacing="0" w:afterAutospacing="0" w:line="170" w:lineRule="auto"/>
              <w:ind w:left="15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 xml:space="preserve">支持多达24个NVMe U.2硬盘（24块前置）</w:t>
            </w:r>
          </w:p>
          <w:p w14:paraId="1846A1D4">
            <w:pPr>
              <w:pStyle w:val="164"/>
              <w:keepNext w:val="0"/>
              <w:keepLines w:val="0"/>
              <w:widowControl/>
              <w:suppressLineNumbers w:val="0"/>
              <w:spacing w:before="174" w:beforeAutospacing="0" w:afterAutospacing="0" w:line="170" w:lineRule="auto"/>
              <w:ind w:left="15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 xml:space="preserve">支持多达4块LFF/SFF硬盘（后置）</w:t>
            </w:r>
          </w:p>
          <w:p w14:paraId="3F4C3949">
            <w:pPr>
              <w:pStyle w:val="164"/>
              <w:keepNext w:val="0"/>
              <w:keepLines w:val="0"/>
              <w:widowControl/>
              <w:suppressLineNumbers w:val="0"/>
              <w:spacing w:before="174" w:beforeAutospacing="0" w:afterAutospacing="0" w:line="170" w:lineRule="auto"/>
              <w:ind w:left="15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 xml:space="preserve">支持2个2280 SATA或1个NVMe M.2</w:t>
            </w:r>
          </w:p>
        </w:tc>
      </w:tr>
      <w:bookmarkEnd w:id="0"/>
      <w:tr w14:paraId="66FA94D4">
        <w:tc>
          <w:tcPr>
            <w:tcW w:w="2214" w:type="dxa"/>
            <w:vAlign w:val="center"/>
          </w:tcPr>
          <w:p w14:paraId="0493D805">
            <w:pPr>
              <w:pStyle w:val="164"/>
              <w:keepNext w:val="0"/>
              <w:keepLines w:val="0"/>
              <w:widowControl/>
              <w:suppressLineNumbers w:val="0"/>
              <w:spacing w:before="197" w:beforeAutospacing="0" w:afterAutospacing="0" w:line="182" w:lineRule="auto"/>
              <w:ind w:left="147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PCIe扩展</w:t>
            </w:r>
          </w:p>
        </w:tc>
        <w:tc>
          <w:tcPr>
            <w:tcW w:w="8079" w:type="dxa"/>
            <w:vAlign w:val="center"/>
          </w:tcPr>
          <w:p w14:paraId="12AC87F1">
            <w:pPr>
              <w:pStyle w:val="164"/>
              <w:keepNext w:val="0"/>
              <w:keepLines w:val="0"/>
              <w:widowControl/>
              <w:suppressLineNumbers w:val="0"/>
              <w:spacing w:before="197" w:beforeAutospacing="0" w:afterAutospacing="0" w:line="178" w:lineRule="auto"/>
              <w:ind w:left="134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最多12个PCIe扩展槽位</w:t>
            </w:r>
          </w:p>
          <w:p w14:paraId="56F29C01">
            <w:pPr>
              <w:pStyle w:val="164"/>
              <w:keepNext w:val="0"/>
              <w:keepLines w:val="0"/>
              <w:widowControl/>
              <w:suppressLineNumbers w:val="0"/>
              <w:spacing w:before="197" w:beforeAutospacing="0" w:afterAutospacing="0" w:line="178" w:lineRule="auto"/>
              <w:ind w:left="134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最多支持10个标准PCIe扩展槽位（后置10个）</w:t>
            </w:r>
          </w:p>
          <w:p w14:paraId="3C2B9819">
            <w:pPr>
              <w:pStyle w:val="164"/>
              <w:keepNext w:val="0"/>
              <w:keepLines w:val="0"/>
              <w:widowControl/>
              <w:suppressLineNumbers w:val="0"/>
              <w:spacing w:before="197" w:beforeAutospacing="0" w:afterAutospacing="0" w:line="178" w:lineRule="auto"/>
              <w:ind w:left="134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支持2个OCP 3.0槽位</w:t>
            </w:r>
          </w:p>
        </w:tc>
      </w:tr>
      <w:tr w14:paraId="7FF85BB1">
        <w:tc>
          <w:tcPr>
            <w:tcW w:w="2214" w:type="dxa"/>
            <w:vAlign w:val="center"/>
          </w:tcPr>
          <w:p w14:paraId="59950A71">
            <w:pPr>
              <w:pStyle w:val="164"/>
              <w:keepNext w:val="0"/>
              <w:keepLines w:val="0"/>
              <w:widowControl/>
              <w:suppressLineNumbers w:val="0"/>
              <w:spacing w:before="188" w:beforeAutospacing="0" w:afterAutospacing="0" w:line="184" w:lineRule="auto"/>
              <w:ind w:left="154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8"/>
                <w:sz w:val="16"/>
                <w:szCs w:val="16"/>
              </w:rPr>
              <w:t>GPU支持</w:t>
            </w:r>
          </w:p>
        </w:tc>
        <w:tc>
          <w:tcPr>
            <w:tcW w:w="8079" w:type="dxa"/>
            <w:vAlign w:val="center"/>
          </w:tcPr>
          <w:p w14:paraId="7C1FDF8B">
            <w:pPr>
              <w:pStyle w:val="164"/>
              <w:keepNext w:val="0"/>
              <w:keepLines w:val="0"/>
              <w:widowControl/>
              <w:suppressLineNumbers w:val="0"/>
              <w:spacing w:before="191" w:beforeAutospacing="0" w:afterAutospacing="0" w:line="187" w:lineRule="auto"/>
              <w:ind w:left="135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支持多达4张双宽GPU卡（单卡功耗最大450W）</w:t>
            </w:r>
          </w:p>
        </w:tc>
      </w:tr>
      <w:tr w14:paraId="499DD6E4">
        <w:tc>
          <w:tcPr>
            <w:tcW w:w="2214" w:type="dxa"/>
            <w:vAlign w:val="center"/>
          </w:tcPr>
          <w:p w14:paraId="6BEE56FD">
            <w:pPr>
              <w:pStyle w:val="164"/>
              <w:keepNext w:val="0"/>
              <w:keepLines w:val="0"/>
              <w:widowControl/>
              <w:suppressLineNumbers w:val="0"/>
              <w:spacing w:before="183" w:beforeAutospacing="0" w:afterAutospacing="0" w:line="183" w:lineRule="auto"/>
              <w:ind w:left="151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管理软件</w:t>
            </w:r>
          </w:p>
        </w:tc>
        <w:tc>
          <w:tcPr>
            <w:tcW w:w="8079" w:type="dxa"/>
            <w:vAlign w:val="center"/>
          </w:tcPr>
          <w:p w14:paraId="61384CA5">
            <w:pPr>
              <w:pStyle w:val="164"/>
              <w:keepNext w:val="0"/>
              <w:keepLines w:val="0"/>
              <w:widowControl/>
              <w:suppressLineNumbers w:val="0"/>
              <w:spacing w:before="183" w:beforeAutospacing="0" w:afterAutospacing="0" w:line="196" w:lineRule="auto"/>
              <w:ind w:left="135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集成BMC管理芯片AST2600，支持IPMI2.0、Redfish、SOL、KVM、虚拟媒介等功能</w:t>
            </w:r>
          </w:p>
        </w:tc>
      </w:tr>
      <w:tr w14:paraId="6818D58C">
        <w:tc>
          <w:tcPr>
            <w:tcW w:w="2214" w:type="dxa"/>
            <w:vAlign w:val="center"/>
          </w:tcPr>
          <w:p w14:paraId="465BACC8">
            <w:pPr>
              <w:keepNext w:val="0"/>
              <w:keepLines w:val="0"/>
              <w:widowControl/>
              <w:suppressLineNumbers w:val="0"/>
              <w:spacing w:before="0" w:beforeAutospacing="0" w:afterAutospacing="0" w:line="332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网络</w:t>
            </w:r>
          </w:p>
        </w:tc>
        <w:tc>
          <w:tcPr>
            <w:tcW w:w="8079" w:type="dxa"/>
            <w:vAlign w:val="center"/>
          </w:tcPr>
          <w:p w14:paraId="7167B9E9">
            <w:pPr>
              <w:pStyle w:val="164"/>
              <w:keepNext w:val="0"/>
              <w:keepLines w:val="0"/>
              <w:widowControl/>
              <w:suppressLineNumbers w:val="0"/>
              <w:spacing w:before="138" w:beforeAutospacing="0" w:afterAutospacing="0" w:line="182" w:lineRule="auto"/>
              <w:ind w:left="125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 xml:space="preserve">板载1个Gbps专用管理网口</w:t>
            </w:r>
          </w:p>
          <w:p w14:paraId="4E570CB0">
            <w:pPr>
              <w:pStyle w:val="164"/>
              <w:keepNext w:val="0"/>
              <w:keepLines w:val="0"/>
              <w:widowControl/>
              <w:suppressLineNumbers w:val="0"/>
              <w:spacing w:before="138" w:beforeAutospacing="0" w:afterAutospacing="0" w:line="182" w:lineRule="auto"/>
              <w:ind w:left="125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 xml:space="preserve">支持2个OCP3.0网卡</w:t>
            </w:r>
          </w:p>
          <w:p w14:paraId="13240511">
            <w:pPr>
              <w:pStyle w:val="164"/>
              <w:keepNext w:val="0"/>
              <w:keepLines w:val="0"/>
              <w:widowControl/>
              <w:suppressLineNumbers w:val="0"/>
              <w:spacing w:before="138" w:beforeAutospacing="0" w:afterAutospacing="0" w:line="182" w:lineRule="auto"/>
              <w:ind w:left="125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 xml:space="preserve">可选基于标准PCIe插槽的网络适配器</w:t>
            </w:r>
          </w:p>
        </w:tc>
      </w:tr>
      <w:tr w14:paraId="79839CC2">
        <w:tc>
          <w:tcPr>
            <w:tcW w:w="2214" w:type="dxa"/>
            <w:vAlign w:val="center"/>
          </w:tcPr>
          <w:p w14:paraId="41632AC7">
            <w:pPr>
              <w:pStyle w:val="164"/>
              <w:keepNext w:val="0"/>
              <w:keepLines w:val="0"/>
              <w:widowControl/>
              <w:suppressLineNumbers w:val="0"/>
              <w:spacing w:before="235" w:beforeAutospacing="0" w:afterAutospacing="0" w:line="182" w:lineRule="auto"/>
              <w:ind w:left="160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0"/>
                <w:sz w:val="16"/>
                <w:szCs w:val="16"/>
              </w:rPr>
              <w:t>I/O接口</w:t>
            </w:r>
          </w:p>
        </w:tc>
        <w:tc>
          <w:tcPr>
            <w:tcW w:w="8079" w:type="dxa"/>
            <w:vAlign w:val="center"/>
          </w:tcPr>
          <w:p w14:paraId="5C82C4B2">
            <w:pPr>
              <w:pStyle w:val="164"/>
              <w:keepNext w:val="0"/>
              <w:keepLines w:val="0"/>
              <w:widowControl/>
              <w:suppressLineNumbers w:val="0"/>
              <w:spacing w:before="214" w:beforeAutospacing="0" w:afterAutospacing="0" w:line="188" w:lineRule="auto"/>
              <w:ind w:left="135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 xml:space="preserve">标配1个RJ45管理网口、1个后置VGA接口、4个USB接口（2前置，2后置）</w:t>
            </w:r>
          </w:p>
          <w:p w14:paraId="3400E2F8">
            <w:pPr>
              <w:pStyle w:val="164"/>
              <w:keepNext w:val="0"/>
              <w:keepLines w:val="0"/>
              <w:widowControl/>
              <w:suppressLineNumbers w:val="0"/>
              <w:spacing w:before="214" w:beforeAutospacing="0" w:afterAutospacing="0" w:line="188" w:lineRule="auto"/>
              <w:ind w:left="135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 xml:space="preserve">可选扩展卡支持2个后置USB接口、1个USB Type-C管理口、1个RJ45管理网口</w:t>
            </w:r>
          </w:p>
          <w:p w14:paraId="70F542F2">
            <w:pPr>
              <w:pStyle w:val="164"/>
              <w:keepNext w:val="0"/>
              <w:keepLines w:val="0"/>
              <w:widowControl/>
              <w:suppressLineNumbers w:val="0"/>
              <w:spacing w:before="214" w:beforeAutospacing="0" w:afterAutospacing="0" w:line="188" w:lineRule="auto"/>
              <w:ind w:left="135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 xml:space="preserve">左挂耳：2个USB 2.0接口，可选2个USB 3.0接口；右挂耳：可选智能挂耳支持1个VGA、1个管理网口或1个Type-C管理接口</w:t>
            </w:r>
          </w:p>
        </w:tc>
      </w:tr>
      <w:tr w14:paraId="58432EC1">
        <w:tc>
          <w:tcPr>
            <w:tcW w:w="2214" w:type="dxa"/>
            <w:vAlign w:val="center"/>
          </w:tcPr>
          <w:p w14:paraId="0B866075">
            <w:pPr>
              <w:pStyle w:val="164"/>
              <w:keepNext w:val="0"/>
              <w:keepLines w:val="0"/>
              <w:widowControl/>
              <w:suppressLineNumbers w:val="0"/>
              <w:spacing w:before="184" w:beforeAutospacing="0" w:afterAutospacing="0" w:line="182" w:lineRule="auto"/>
              <w:ind w:left="149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安全性</w:t>
            </w:r>
          </w:p>
        </w:tc>
        <w:tc>
          <w:tcPr>
            <w:tcW w:w="8079" w:type="dxa"/>
            <w:vAlign w:val="center"/>
          </w:tcPr>
          <w:p w14:paraId="78EE3201">
            <w:pPr>
              <w:pStyle w:val="164"/>
              <w:keepNext w:val="0"/>
              <w:keepLines w:val="0"/>
              <w:widowControl/>
              <w:suppressLineNumbers w:val="0"/>
              <w:spacing w:before="162" w:beforeAutospacing="0" w:afterAutospacing="0" w:line="180" w:lineRule="auto"/>
              <w:ind w:left="136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1"/>
                <w:sz w:val="16"/>
                <w:szCs w:val="16"/>
              </w:rPr>
              <w:t>支持机箱入侵检测；支持Intel PFR3.0和SGX2.0安全技术；支持TCM/TPM安全模块</w:t>
            </w:r>
          </w:p>
        </w:tc>
      </w:tr>
      <w:tr w14:paraId="2F5E6D7D">
        <w:tc>
          <w:tcPr>
            <w:tcW w:w="2214" w:type="dxa"/>
            <w:vAlign w:val="center"/>
          </w:tcPr>
          <w:p w14:paraId="1EB01532">
            <w:pPr>
              <w:keepNext w:val="0"/>
              <w:keepLines w:val="0"/>
              <w:widowControl/>
              <w:suppressLineNumbers w:val="0"/>
              <w:spacing w:before="0" w:beforeAutospacing="0" w:afterAutospacing="0" w:line="244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电源</w:t>
            </w:r>
          </w:p>
        </w:tc>
        <w:tc>
          <w:tcPr>
            <w:tcW w:w="8079" w:type="dxa"/>
            <w:vAlign w:val="center"/>
          </w:tcPr>
          <w:p w14:paraId="76EFAFB6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82" w:lineRule="auto"/>
              <w:ind w:left="137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可选800W/1300W/1600W/2000W/2600W/2700W/3200W CRPS标准电源，支持1+1冗余</w:t>
            </w:r>
          </w:p>
        </w:tc>
      </w:tr>
      <w:tr w14:paraId="71903A7F">
        <w:tc>
          <w:tcPr>
            <w:tcW w:w="2214" w:type="dxa"/>
            <w:vAlign w:val="center"/>
          </w:tcPr>
          <w:p w14:paraId="0EDC6823">
            <w:pPr>
              <w:keepNext w:val="0"/>
              <w:keepLines w:val="0"/>
              <w:widowControl/>
              <w:suppressLineNumbers w:val="0"/>
              <w:spacing w:before="0" w:beforeAutospacing="0" w:afterAutospacing="0" w:line="244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工作温度</w:t>
            </w:r>
          </w:p>
        </w:tc>
        <w:tc>
          <w:tcPr>
            <w:tcW w:w="8079" w:type="dxa"/>
            <w:vAlign w:val="center"/>
          </w:tcPr>
          <w:p w14:paraId="12CAF3DC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82" w:lineRule="auto"/>
              <w:ind w:left="137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0℃~45℃（工作温度支持受不同配置影响，详情请参考产品技术文档）</w:t>
            </w:r>
          </w:p>
        </w:tc>
      </w:tr>
      <w:tr w14:paraId="632AC7F0">
        <w:tc>
          <w:tcPr>
            <w:tcW w:w="2214" w:type="dxa"/>
            <w:vAlign w:val="center"/>
          </w:tcPr>
          <w:p w14:paraId="167BA976">
            <w:pPr>
              <w:keepNext w:val="0"/>
              <w:keepLines w:val="0"/>
              <w:widowControl/>
              <w:suppressLineNumbers w:val="0"/>
              <w:spacing w:before="0" w:beforeAutospacing="0" w:afterAutospacing="0" w:line="244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外形/机箱尺寸</w:t>
            </w:r>
          </w:p>
        </w:tc>
        <w:tc>
          <w:tcPr>
            <w:tcW w:w="8079" w:type="dxa"/>
            <w:vAlign w:val="center"/>
          </w:tcPr>
          <w:p w14:paraId="39FF982D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82" w:lineRule="auto"/>
              <w:ind w:left="137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2U机箱</w:t>
            </w:r>
          </w:p>
          <w:p w14:paraId="5F656503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82" w:lineRule="auto"/>
              <w:ind w:left="137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</w:t>
            </w: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 xml:space="preserve">87mm（高）×447.4mm（宽）×800mm（深）（不含安全面板）</w:t>
            </w:r>
          </w:p>
        </w:tc>
      </w:tr>
    </w:tbl>
    <w:p w14:paraId="17F784E2">
      <w:pPr>
        <w:rPr>
          <w:rFonts w:hint="default" w:ascii="Times New Roman Regular" w:hAnsi="Times New Roman Regular" w:eastAsia="微软雅黑" w:cs="Times New Roman Regular"/>
        </w:rPr>
      </w:pPr>
    </w:p>
    <w:sectPr>
      <w:headerReference r:id="rId5" w:type="default"/>
      <w:footerReference r:id="rId6" w:type="default"/>
      <w:pgSz w:w="11906" w:h="16838"/>
      <w:pgMar w:top="964" w:right="964" w:bottom="964" w:left="964" w:header="567" w:footer="567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微软雅黑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ＭＳ ゴシック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099987">
    <w:pPr>
      <w:pStyle w:val="24"/>
      <w:jc w:val="center"/>
    </w:pPr>
    <w:r>
      <w:rPr>
        <w:rFonts w:ascii="微软雅黑" w:hAnsi="微软雅黑" w:eastAsia="微软雅黑"/>
        <w:b w:val="0"/>
        <w:i w:val="0"/>
        <w:color w:val="6B7A8F"/>
        <w:sz w:val="16"/>
      </w:rPr>
      <w:t xml:space="preserve">世沅科技    </w:t>
    </w:r>
    <w:r>
      <w:fldChar w:fldCharType="begin"/>
    </w:r>
    <w:r>
      <w:instrText xml:space="preserve">PAGE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92B8FF">
    <w:pPr>
      <w:pStyle w:val="25"/>
      <w:keepNext w:val="0"/>
      <w:keepLines w:val="0"/>
      <w:pageBreakBefore w:val="0"/>
      <w:widowControl/>
      <w:pBdr>
        <w:bottom w:val="single" w:color="103A66" w:sz="6" w:space="1"/>
      </w:pBdr>
      <w:kinsoku/>
      <w:wordWrap/>
      <w:overflowPunct/>
      <w:topLinePunct w:val="0"/>
      <w:bidi w:val="0"/>
      <w:adjustRightInd/>
      <w:snapToGrid/>
      <w:spacing w:after="80"/>
      <w:jc w:val="both"/>
      <w:textAlignment w:val="auto"/>
      <w:rPr>
        <w:sz w:val="36"/>
        <w:szCs w:val="36"/>
      </w:rPr>
    </w:pPr>
    <w:r>
      <w:rPr>
        <w:rFonts w:ascii="微软雅黑" w:hAnsi="微软雅黑" w:eastAsia="微软雅黑"/>
        <w:b/>
        <w:i w:val="0"/>
        <w:color w:val="103A66"/>
        <w:sz w:val="22"/>
        <w:szCs w:val="3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17145</wp:posOffset>
          </wp:positionV>
          <wp:extent cx="193040" cy="193040"/>
          <wp:effectExtent l="0" t="0" r="10160" b="10160"/>
          <wp:wrapTopAndBottom/>
          <wp:docPr id="2" name="图片 2" descr="logo-squ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logo-squar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3040" cy="193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b/>
        <w:i w:val="0"/>
        <w:color w:val="103A66"/>
        <w:sz w:val="22"/>
        <w:szCs w:val="36"/>
        <w:lang w:val="en-US" w:eastAsia="zh-CN"/>
      </w:rPr>
      <w:t xml:space="preserve">   </w:t>
    </w:r>
    <w:r>
      <w:rPr>
        <w:rFonts w:ascii="微软雅黑" w:hAnsi="微软雅黑" w:eastAsia="微软雅黑"/>
        <w:b/>
        <w:i w:val="0"/>
        <w:color w:val="103A66"/>
        <w:sz w:val="22"/>
        <w:szCs w:val="36"/>
      </w:rPr>
      <w:t xml:space="preserve">世沅科技 SEYUAN   </w:t>
    </w:r>
    <w:r>
      <w:rPr>
        <w:rFonts w:ascii="微软雅黑" w:hAnsi="微软雅黑" w:eastAsia="微软雅黑"/>
        <w:b w:val="0"/>
        <w:i w:val="0"/>
        <w:color w:val="6B7A8F"/>
        <w:sz w:val="22"/>
        <w:szCs w:val="36"/>
      </w:rPr>
      <w:t>|   产品彩页 Data Sheet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9E0716"/>
    <w:multiLevelType w:val="singleLevel"/>
    <w:tmpl w:val="BB9E071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4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5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8"/>
  <w:bordersDoNotSurroundHeader w:val="0"/>
  <w:bordersDoNotSurroundFooter w:val="0"/>
  <w:documentProtection w:enforcement="0"/>
  <w:defaultTabStop w:val="720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FFD41E5"/>
    <w:rsid w:val="373E62E7"/>
    <w:rsid w:val="3B7F094F"/>
    <w:rsid w:val="3F5FFC70"/>
    <w:rsid w:val="4BFF167C"/>
    <w:rsid w:val="56DB178D"/>
    <w:rsid w:val="5EBA5FC4"/>
    <w:rsid w:val="5F7C6E5C"/>
    <w:rsid w:val="5FEFA303"/>
    <w:rsid w:val="77AB7FAD"/>
    <w:rsid w:val="7B7ADD32"/>
    <w:rsid w:val="7DFB24B3"/>
    <w:rsid w:val="8FE76AA9"/>
    <w:rsid w:val="B1EF3BD7"/>
    <w:rsid w:val="DBFB61FF"/>
    <w:rsid w:val="DECE3029"/>
    <w:rsid w:val="DFBF5B96"/>
    <w:rsid w:val="DFFBCBE0"/>
    <w:rsid w:val="FEEF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  <w:style w:type="paragraph" w:customStyle="1" w:styleId="164">
    <w:name w:val="Table Text"/>
    <w:basedOn w:val="1"/>
    <w:semiHidden/>
    <w:qFormat/>
    <w:uiPriority w:val="0"/>
    <w:rPr>
      <w:rFonts w:ascii="PingFang SC" w:hAnsi="PingFang SC" w:eastAsia="PingFang SC" w:cs="PingFang SC"/>
      <w:sz w:val="16"/>
      <w:szCs w:val="16"/>
      <w:lang w:val="en-US" w:eastAsia="en-US" w:bidi="ar-SA"/>
    </w:rPr>
  </w:style>
  <w:style w:type="table" w:customStyle="1" w:styleId="16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1</Lines>
  <Paragraphs>1</Paragraphs>
  <TotalTime>3</TotalTime>
  <ScaleCrop>false</ScaleCrop>
  <LinksUpToDate>false</LinksUpToDate>
  <CharactersWithSpaces>0</CharactersWithSpaces>
  <Application>WPS Office_12.1.25869.25869_F1E327BC-269C-435d-A152-05C5408002CA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产品彩页</cp:category>
  <dcterms:created xsi:type="dcterms:W3CDTF">2013-12-24T23:15:00Z</dcterms:created>
  <dc:creator>世沅科技</dc:creator>
  <dc:description>世沅科技产品彩页</dc:description>
  <cp:keywords>SC2220X5;通用服务器;机架服务器;Intel EGS;世沅科技</cp:keywords>
  <cp:lastModifiedBy>沈歪歪丶</cp:lastModifiedBy>
  <dcterms:modified xsi:type="dcterms:W3CDTF">2026-10-19T14:41:01Z</dcterms:modified>
  <dc:subject>SC2220X5 2U 双路机架服务器 产品彩页</dc:subject>
  <dc:title>世沅科技产品彩页 SC2220X5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2052-12.1.25869.25869</vt:lpwstr>
  </property>
  <property fmtid="{D5CDD505-2E9C-101B-9397-08002B2CF9AE}" pid="3" name="ICV">
    <vt:lpwstr>2D92CDC660DBA4C18834CF6A15A7682B_42</vt:lpwstr>
  </property>
</Properties>
</file>